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2026-09-09</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95.5</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1,276.4</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4,712.4</w:t>
            </w:r>
          </w:p>
        </w:tc>
        <w:tc>
          <w:tcPr>
            <w:tcW w:type="dxa" w:w="1656"/>
          </w:tcPr>
          <w:p>
            <w:pPr>
              <w:jc w:val="right"/>
            </w:pPr>
            <w:r>
              <w:rPr>
                <w:rFonts w:ascii="Calibri" w:hAnsi="Calibri"/>
                <w:sz w:val="18"/>
              </w:rPr>
              <w:t>802.3</w:t>
            </w:r>
          </w:p>
        </w:tc>
        <w:tc>
          <w:tcPr>
            <w:tcW w:type="dxa" w:w="1656"/>
          </w:tcPr>
          <w:p>
            <w:pPr>
              <w:jc w:val="right"/>
            </w:pPr>
            <w:r>
              <w:rPr>
                <w:rFonts w:ascii="Calibri" w:hAnsi="Calibri"/>
                <w:sz w:val="18"/>
              </w:rPr>
              <w:t>77,477.5</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4,855.5</w:t>
            </w:r>
          </w:p>
        </w:tc>
        <w:tc>
          <w:tcPr>
            <w:tcW w:type="dxa" w:w="1656"/>
          </w:tcPr>
          <w:p>
            <w:pPr>
              <w:jc w:val="right"/>
            </w:pPr>
            <w:r>
              <w:rPr>
                <w:rFonts w:ascii="Calibri" w:hAnsi="Calibri"/>
                <w:sz w:val="18"/>
              </w:rPr>
              <w:t>826.7</w:t>
            </w:r>
          </w:p>
        </w:tc>
        <w:tc>
          <w:tcPr>
            <w:tcW w:type="dxa" w:w="1656"/>
          </w:tcPr>
          <w:p>
            <w:pPr>
              <w:jc w:val="right"/>
            </w:pPr>
            <w:r>
              <w:rPr>
                <w:rFonts w:ascii="Calibri" w:hAnsi="Calibri"/>
                <w:sz w:val="18"/>
              </w:rPr>
              <w:t>99,466.2</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4,259.4</w:t>
            </w:r>
          </w:p>
        </w:tc>
        <w:tc>
          <w:tcPr>
            <w:tcW w:type="dxa" w:w="1656"/>
          </w:tcPr>
          <w:p>
            <w:pPr>
              <w:jc w:val="right"/>
            </w:pPr>
            <w:r>
              <w:rPr>
                <w:rFonts w:ascii="Calibri" w:hAnsi="Calibri"/>
                <w:sz w:val="18"/>
              </w:rPr>
              <w:t>725.2</w:t>
            </w:r>
          </w:p>
        </w:tc>
        <w:tc>
          <w:tcPr>
            <w:tcW w:type="dxa" w:w="1656"/>
          </w:tcPr>
          <w:p>
            <w:pPr>
              <w:jc w:val="right"/>
            </w:pPr>
            <w:r>
              <w:rPr>
                <w:rFonts w:ascii="Calibri" w:hAnsi="Calibri"/>
                <w:sz w:val="18"/>
              </w:rPr>
              <w:t>53,939.3</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44.2</w:t>
            </w:r>
          </w:p>
        </w:tc>
        <w:tc>
          <w:tcPr>
            <w:tcW w:type="dxa" w:w="1656"/>
          </w:tcPr>
          <w:p>
            <w:pPr>
              <w:jc w:val="right"/>
            </w:pPr>
            <w:r>
              <w:rPr>
                <w:rFonts w:ascii="Calibri" w:hAnsi="Calibri"/>
                <w:sz w:val="18"/>
              </w:rPr>
              <w:t>10,587.3</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95.5</w:t>
            </w:r>
          </w:p>
        </w:tc>
        <w:tc>
          <w:tcPr>
            <w:tcW w:type="dxa" w:w="1987"/>
          </w:tcPr>
          <w:p>
            <w:pPr>
              <w:jc w:val="right"/>
            </w:pPr>
            <w:r>
              <w:rPr>
                <w:rFonts w:ascii="Calibri" w:hAnsi="Calibri"/>
                <w:sz w:val="18"/>
              </w:rPr>
              <w:t>66.2</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6,361.3</w:t>
            </w:r>
          </w:p>
        </w:tc>
        <w:tc>
          <w:tcPr>
            <w:tcW w:type="dxa" w:w="1987"/>
          </w:tcPr>
          <w:p>
            <w:pPr>
              <w:jc w:val="right"/>
            </w:pPr>
            <w:r>
              <w:rPr>
                <w:rFonts w:ascii="Calibri" w:hAnsi="Calibri"/>
                <w:sz w:val="18"/>
              </w:rPr>
              <w:t>4,712.4</w:t>
            </w:r>
          </w:p>
        </w:tc>
        <w:tc>
          <w:tcPr>
            <w:tcW w:type="dxa" w:w="1987"/>
          </w:tcPr>
          <w:p>
            <w:pPr>
              <w:jc w:val="right"/>
            </w:pPr>
            <w:r>
              <w:rPr>
                <w:rFonts w:ascii="Calibri" w:hAnsi="Calibri"/>
                <w:sz w:val="18"/>
              </w:rPr>
              <w:t>-25.9</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4,855.5</w:t>
            </w:r>
          </w:p>
        </w:tc>
        <w:tc>
          <w:tcPr>
            <w:tcW w:type="dxa" w:w="1987"/>
          </w:tcPr>
          <w:p>
            <w:pPr>
              <w:jc w:val="right"/>
            </w:pPr>
            <w:r>
              <w:rPr>
                <w:rFonts w:ascii="Calibri" w:hAnsi="Calibri"/>
                <w:sz w:val="18"/>
              </w:rPr>
              <w:t>38.1</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4,259.4</w:t>
            </w:r>
          </w:p>
        </w:tc>
        <w:tc>
          <w:tcPr>
            <w:tcW w:type="dxa" w:w="1987"/>
          </w:tcPr>
          <w:p>
            <w:pPr>
              <w:jc w:val="right"/>
            </w:pPr>
            <w:r>
              <w:rPr>
                <w:rFonts w:ascii="Calibri" w:hAnsi="Calibri"/>
                <w:sz w:val="18"/>
              </w:rPr>
              <w:t>36.2</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259.4</w:t>
            </w:r>
          </w:p>
        </w:tc>
        <w:tc>
          <w:tcPr>
            <w:tcW w:type="dxa" w:w="1987"/>
          </w:tcPr>
          <w:p>
            <w:pPr>
              <w:jc w:val="right"/>
            </w:pPr>
            <w:r>
              <w:rPr>
                <w:rFonts w:ascii="Calibri" w:hAnsi="Calibri"/>
                <w:sz w:val="18"/>
              </w:rPr>
              <w:t>-5.8</w:t>
            </w:r>
          </w:p>
        </w:tc>
      </w:tr>
    </w:tbl>
    <w:p>
      <w:r>
        <w:rPr>
          <w:color w:val="253331"/>
          <w:sz w:val="18"/>
        </w:rPr>
        <w:t>Note. The runs differ in reference year, in background vintage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595.8</w:t>
            </w:r>
          </w:p>
        </w:tc>
        <w:tc>
          <w:tcPr>
            <w:tcW w:type="dxa" w:w="1987"/>
          </w:tcPr>
          <w:p>
            <w:pPr>
              <w:jc w:val="right"/>
            </w:pPr>
            <w:r>
              <w:rPr>
                <w:rFonts w:ascii="Calibri" w:hAnsi="Calibri"/>
                <w:sz w:val="18"/>
              </w:rPr>
              <w:t>-2,009.3</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1,738.3</w:t>
            </w:r>
          </w:p>
        </w:tc>
        <w:tc>
          <w:tcPr>
            <w:tcW w:type="dxa" w:w="1987"/>
          </w:tcPr>
          <w:p>
            <w:pPr>
              <w:jc w:val="right"/>
            </w:pPr>
            <w:r>
              <w:rPr>
                <w:rFonts w:ascii="Calibri" w:hAnsi="Calibri"/>
                <w:sz w:val="18"/>
              </w:rPr>
              <w:t>887.3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618.7</w:t>
            </w:r>
          </w:p>
        </w:tc>
        <w:tc>
          <w:tcPr>
            <w:tcW w:type="dxa" w:w="1987"/>
          </w:tcPr>
          <w:p>
            <w:pPr>
              <w:jc w:val="right"/>
            </w:pPr>
            <w:r>
              <w:rPr>
                <w:rFonts w:ascii="Calibri" w:hAnsi="Calibri"/>
                <w:sz w:val="18"/>
              </w:rPr>
              <w:t>-295.7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Unallocated</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293.4</w:t>
            </w:r>
          </w:p>
        </w:tc>
        <w:tc>
          <w:tcPr>
            <w:tcW w:type="dxa" w:w="1987"/>
          </w:tcPr>
          <w:p>
            <w:pPr>
              <w:jc w:val="right"/>
            </w:pPr>
            <w:r>
              <w:rPr>
                <w:rFonts w:ascii="Calibri" w:hAnsi="Calibri"/>
                <w:sz w:val="18"/>
              </w:rPr>
              <w:t>-194.2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200.5</w:t>
            </w:r>
          </w:p>
        </w:tc>
        <w:tc>
          <w:tcPr>
            <w:tcW w:type="dxa" w:w="1987"/>
          </w:tcPr>
          <w:p>
            <w:pPr>
              <w:jc w:val="right"/>
            </w:pPr>
            <w:r>
              <w:rPr>
                <w:rFonts w:ascii="Calibri" w:hAnsi="Calibri"/>
                <w:sz w:val="18"/>
              </w:rPr>
              <w:t>-40.6</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164.3</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434.1</w:t>
            </w:r>
          </w:p>
        </w:tc>
        <w:tc>
          <w:tcPr>
            <w:tcW w:type="dxa" w:w="1987"/>
          </w:tcPr>
          <w:p>
            <w:pPr>
              <w:jc w:val="right"/>
            </w:pPr>
            <w:r>
              <w:rPr>
                <w:rFonts w:ascii="Calibri" w:hAnsi="Calibri"/>
                <w:sz w:val="18"/>
              </w:rPr>
              <w:t>30.3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1.7</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95.36</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95.50</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4,243.55</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4,710.58</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4,854.70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4,855.46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4,248.47</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4,259.38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213.71</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256.94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77.5</w:t>
            </w:r>
          </w:p>
        </w:tc>
        <w:tc>
          <w:tcPr>
            <w:tcW w:type="dxa" w:w="1656"/>
          </w:tcPr>
          <w:p>
            <w:pPr>
              <w:jc w:val="right"/>
            </w:pPr>
            <w:r>
              <w:rPr>
                <w:rFonts w:ascii="Calibri" w:hAnsi="Calibri"/>
                <w:sz w:val="18"/>
              </w:rPr>
              <w:t>13.19</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4.71</w:t>
            </w:r>
          </w:p>
        </w:tc>
        <w:tc>
          <w:tcPr>
            <w:tcW w:type="dxa" w:w="1987"/>
          </w:tcPr>
          <w:p>
            <w:pPr>
              <w:jc w:val="right"/>
            </w:pPr>
            <w:r>
              <w:rPr>
                <w:rFonts w:ascii="Calibri" w:hAnsi="Calibri"/>
                <w:sz w:val="18"/>
              </w:rPr>
              <w:t>0.802</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8.2</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vintage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Vintage</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vintages is a reminder that a climate footprint is not a measurement but a measurement combined with a convention, and that the convention must be stated with the number. The environment variable HC_GWP_VINTAGE reproduces any row.</w:t>
      </w:r>
    </w:p>
    <w:p>
      <w:r>
        <w:rPr>
          <w:color w:val="6B7F7B"/>
          <w:sz w:val="17"/>
        </w:rPr>
        <w:t>Source. 15_gwp_vintage/gwp_vintage_sensitivity.csv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102.4</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4,062.0</w:t>
            </w:r>
          </w:p>
        </w:tc>
        <w:tc>
          <w:tcPr>
            <w:tcW w:type="dxa" w:w="1656"/>
          </w:tcPr>
          <w:p>
            <w:pPr>
              <w:jc w:val="right"/>
            </w:pPr>
            <w:r>
              <w:rPr>
                <w:rFonts w:ascii="Calibri" w:hAnsi="Calibri"/>
                <w:sz w:val="18"/>
              </w:rPr>
              <w:t>4,598.1</w:t>
            </w:r>
          </w:p>
        </w:tc>
        <w:tc>
          <w:tcPr>
            <w:tcW w:type="dxa" w:w="1656"/>
          </w:tcPr>
          <w:p>
            <w:pPr>
              <w:jc w:val="right"/>
            </w:pPr>
            <w:r>
              <w:rPr>
                <w:rFonts w:ascii="Calibri" w:hAnsi="Calibri"/>
                <w:sz w:val="18"/>
              </w:rPr>
              <w:t>4,913.9</w:t>
            </w:r>
          </w:p>
        </w:tc>
        <w:tc>
          <w:tcPr>
            <w:tcW w:type="dxa" w:w="1656"/>
          </w:tcPr>
          <w:p>
            <w:pPr>
              <w:jc w:val="right"/>
            </w:pPr>
            <w:r>
              <w:rPr>
                <w:rFonts w:ascii="Calibri" w:hAnsi="Calibri"/>
                <w:sz w:val="18"/>
              </w:rPr>
              <w:t>21.0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4,853.8</w:t>
            </w:r>
          </w:p>
        </w:tc>
        <w:tc>
          <w:tcPr>
            <w:tcW w:type="dxa" w:w="1656"/>
          </w:tcPr>
          <w:p>
            <w:pPr>
              <w:jc w:val="right"/>
            </w:pPr>
            <w:r>
              <w:rPr>
                <w:rFonts w:ascii="Calibri" w:hAnsi="Calibri"/>
                <w:sz w:val="18"/>
              </w:rPr>
              <w:t>5,362.1</w:t>
            </w:r>
          </w:p>
        </w:tc>
        <w:tc>
          <w:tcPr>
            <w:tcW w:type="dxa" w:w="1656"/>
          </w:tcPr>
          <w:p>
            <w:pPr>
              <w:jc w:val="right"/>
            </w:pPr>
            <w:r>
              <w:rPr>
                <w:rFonts w:ascii="Calibri" w:hAnsi="Calibri"/>
                <w:sz w:val="18"/>
              </w:rPr>
              <w:t>5,767.1</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4,233.7</w:t>
            </w:r>
          </w:p>
        </w:tc>
        <w:tc>
          <w:tcPr>
            <w:tcW w:type="dxa" w:w="1656"/>
          </w:tcPr>
          <w:p>
            <w:pPr>
              <w:jc w:val="right"/>
            </w:pPr>
            <w:r>
              <w:rPr>
                <w:rFonts w:ascii="Calibri" w:hAnsi="Calibri"/>
                <w:sz w:val="18"/>
              </w:rPr>
              <w:t>5,027.7</w:t>
            </w:r>
          </w:p>
        </w:tc>
        <w:tc>
          <w:tcPr>
            <w:tcW w:type="dxa" w:w="1656"/>
          </w:tcPr>
          <w:p>
            <w:pPr>
              <w:jc w:val="right"/>
            </w:pPr>
            <w:r>
              <w:rPr>
                <w:rFonts w:ascii="Calibri" w:hAnsi="Calibri"/>
                <w:sz w:val="18"/>
              </w:rPr>
              <w:t>5,546.6</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283.2</w:t>
            </w:r>
          </w:p>
        </w:tc>
        <w:tc>
          <w:tcPr>
            <w:tcW w:type="dxa" w:w="1656"/>
          </w:tcPr>
          <w:p>
            <w:pPr>
              <w:jc w:val="right"/>
            </w:pPr>
            <w:r>
              <w:rPr>
                <w:rFonts w:ascii="Calibri" w:hAnsi="Calibri"/>
                <w:sz w:val="18"/>
              </w:rPr>
              <w:t>301.0</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9. The function split is an expenditure ranking, not an intensity finding</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Function</w:t>
            </w:r>
          </w:p>
        </w:tc>
        <w:tc>
          <w:tcPr>
            <w:tcW w:type="dxa" w:w="1987"/>
            <w:shd w:val="clear" w:fill="0B4F4A"/>
          </w:tcPr>
          <w:p>
            <w:r>
              <w:rPr>
                <w:rFonts w:ascii="Calibri" w:hAnsi="Calibri"/>
                <w:b/>
                <w:sz w:val="18"/>
                <w:color w:val="FFFFFF"/>
              </w:rPr>
              <w:t>Expenditure (M.EUR)</w:t>
            </w:r>
          </w:p>
        </w:tc>
        <w:tc>
          <w:tcPr>
            <w:tcW w:type="dxa" w:w="1987"/>
            <w:shd w:val="clear" w:fill="0B4F4A"/>
          </w:tcPr>
          <w:p>
            <w:r>
              <w:rPr>
                <w:rFonts w:ascii="Calibri" w:hAnsi="Calibri"/>
                <w:b/>
                <w:sz w:val="18"/>
                <w:color w:val="FFFFFF"/>
              </w:rPr>
              <w:t>Share of spending (%)</w:t>
            </w:r>
          </w:p>
        </w:tc>
        <w:tc>
          <w:tcPr>
            <w:tcW w:type="dxa" w:w="1987"/>
            <w:shd w:val="clear" w:fill="0B4F4A"/>
          </w:tcPr>
          <w:p>
            <w:r>
              <w:rPr>
                <w:rFonts w:ascii="Calibri" w:hAnsi="Calibri"/>
                <w:b/>
                <w:sz w:val="18"/>
                <w:color w:val="FFFFFF"/>
              </w:rPr>
              <w:t>Intensity (kt per M.EUR)</w:t>
            </w:r>
          </w:p>
        </w:tc>
        <w:tc>
          <w:tcPr>
            <w:tcW w:type="dxa" w:w="1987"/>
            <w:shd w:val="clear" w:fill="0B4F4A"/>
          </w:tcPr>
          <w:p>
            <w:r>
              <w:rPr>
                <w:rFonts w:ascii="Calibri" w:hAnsi="Calibri"/>
                <w:b/>
                <w:sz w:val="18"/>
                <w:color w:val="FFFFFF"/>
              </w:rPr>
              <w:t>Footprint (kt CO₂-eq)</w:t>
            </w:r>
          </w:p>
        </w:tc>
      </w:tr>
      <w:tr>
        <w:tc>
          <w:tcPr>
            <w:tcW w:type="dxa" w:w="1987"/>
          </w:tcPr>
          <w:p>
            <w:r>
              <w:rPr>
                <w:rFonts w:ascii="Calibri" w:hAnsi="Calibri"/>
                <w:sz w:val="18"/>
              </w:rPr>
              <w:t>Hospital services</w:t>
            </w:r>
          </w:p>
        </w:tc>
        <w:tc>
          <w:tcPr>
            <w:tcW w:type="dxa" w:w="1987"/>
          </w:tcPr>
          <w:p>
            <w:pPr>
              <w:jc w:val="right"/>
            </w:pPr>
            <w:r>
              <w:rPr>
                <w:rFonts w:ascii="Calibri" w:hAnsi="Calibri"/>
                <w:sz w:val="18"/>
              </w:rPr>
              <w:t>20,624</w:t>
            </w:r>
          </w:p>
        </w:tc>
        <w:tc>
          <w:tcPr>
            <w:tcW w:type="dxa" w:w="1987"/>
          </w:tcPr>
          <w:p>
            <w:pPr>
              <w:jc w:val="right"/>
            </w:pPr>
            <w:r>
              <w:rPr>
                <w:rFonts w:ascii="Calibri" w:hAnsi="Calibri"/>
                <w:sz w:val="18"/>
              </w:rPr>
              <w:t>50.8</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1,288</w:t>
            </w:r>
          </w:p>
        </w:tc>
      </w:tr>
      <w:tr>
        <w:tc>
          <w:tcPr>
            <w:tcW w:type="dxa" w:w="1987"/>
          </w:tcPr>
          <w:p>
            <w:r>
              <w:rPr>
                <w:rFonts w:ascii="Calibri" w:hAnsi="Calibri"/>
                <w:sz w:val="18"/>
              </w:rPr>
              <w:t>Residential and long-term care</w:t>
            </w:r>
          </w:p>
        </w:tc>
        <w:tc>
          <w:tcPr>
            <w:tcW w:type="dxa" w:w="1987"/>
          </w:tcPr>
          <w:p>
            <w:pPr>
              <w:jc w:val="right"/>
            </w:pPr>
            <w:r>
              <w:rPr>
                <w:rFonts w:ascii="Calibri" w:hAnsi="Calibri"/>
                <w:sz w:val="18"/>
              </w:rPr>
              <w:t>9,518</w:t>
            </w:r>
          </w:p>
        </w:tc>
        <w:tc>
          <w:tcPr>
            <w:tcW w:type="dxa" w:w="1987"/>
          </w:tcPr>
          <w:p>
            <w:pPr>
              <w:jc w:val="right"/>
            </w:pPr>
            <w:r>
              <w:rPr>
                <w:rFonts w:ascii="Calibri" w:hAnsi="Calibri"/>
                <w:sz w:val="18"/>
              </w:rPr>
              <w:t>23.4</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594</w:t>
            </w:r>
          </w:p>
        </w:tc>
      </w:tr>
      <w:tr>
        <w:tc>
          <w:tcPr>
            <w:tcW w:type="dxa" w:w="1987"/>
          </w:tcPr>
          <w:p>
            <w:r>
              <w:rPr>
                <w:rFonts w:ascii="Calibri" w:hAnsi="Calibri"/>
                <w:sz w:val="18"/>
              </w:rPr>
              <w:t>Outpatient and ambulatory care</w:t>
            </w:r>
          </w:p>
        </w:tc>
        <w:tc>
          <w:tcPr>
            <w:tcW w:type="dxa" w:w="1987"/>
          </w:tcPr>
          <w:p>
            <w:pPr>
              <w:jc w:val="right"/>
            </w:pPr>
            <w:r>
              <w:rPr>
                <w:rFonts w:ascii="Calibri" w:hAnsi="Calibri"/>
                <w:sz w:val="18"/>
              </w:rPr>
              <w:t>7,410</w:t>
            </w:r>
          </w:p>
        </w:tc>
        <w:tc>
          <w:tcPr>
            <w:tcW w:type="dxa" w:w="1987"/>
          </w:tcPr>
          <w:p>
            <w:pPr>
              <w:jc w:val="right"/>
            </w:pPr>
            <w:r>
              <w:rPr>
                <w:rFonts w:ascii="Calibri" w:hAnsi="Calibri"/>
                <w:sz w:val="18"/>
              </w:rPr>
              <w:t>18.3</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463</w:t>
            </w:r>
          </w:p>
        </w:tc>
      </w:tr>
      <w:tr>
        <w:tc>
          <w:tcPr>
            <w:tcW w:type="dxa" w:w="1987"/>
          </w:tcPr>
          <w:p>
            <w:r>
              <w:rPr>
                <w:rFonts w:ascii="Calibri" w:hAnsi="Calibri"/>
                <w:sz w:val="18"/>
              </w:rPr>
              <w:t>Pharmaceuticals</w:t>
            </w:r>
          </w:p>
        </w:tc>
        <w:tc>
          <w:tcPr>
            <w:tcW w:type="dxa" w:w="1987"/>
          </w:tcPr>
          <w:p>
            <w:pPr>
              <w:jc w:val="right"/>
            </w:pPr>
            <w:r>
              <w:rPr>
                <w:rFonts w:ascii="Calibri" w:hAnsi="Calibri"/>
                <w:sz w:val="18"/>
              </w:rPr>
              <w:t>1,950</w:t>
            </w:r>
          </w:p>
        </w:tc>
        <w:tc>
          <w:tcPr>
            <w:tcW w:type="dxa" w:w="1987"/>
          </w:tcPr>
          <w:p>
            <w:pPr>
              <w:jc w:val="right"/>
            </w:pPr>
            <w:r>
              <w:rPr>
                <w:rFonts w:ascii="Calibri" w:hAnsi="Calibri"/>
                <w:sz w:val="18"/>
              </w:rPr>
              <w:t>4.8</w:t>
            </w:r>
          </w:p>
        </w:tc>
        <w:tc>
          <w:tcPr>
            <w:tcW w:type="dxa" w:w="1987"/>
          </w:tcPr>
          <w:p>
            <w:pPr>
              <w:jc w:val="right"/>
            </w:pPr>
            <w:r>
              <w:rPr>
                <w:rFonts w:ascii="Calibri" w:hAnsi="Calibri"/>
                <w:sz w:val="18"/>
              </w:rPr>
              <w:t>0.739</w:t>
            </w:r>
          </w:p>
        </w:tc>
        <w:tc>
          <w:tcPr>
            <w:tcW w:type="dxa" w:w="1987"/>
          </w:tcPr>
          <w:p>
            <w:pPr>
              <w:jc w:val="right"/>
            </w:pPr>
            <w:r>
              <w:rPr>
                <w:rFonts w:ascii="Calibri" w:hAnsi="Calibri"/>
                <w:sz w:val="18"/>
              </w:rPr>
              <w:t>1,441</w:t>
            </w:r>
          </w:p>
        </w:tc>
      </w:tr>
      <w:tr>
        <w:tc>
          <w:tcPr>
            <w:tcW w:type="dxa" w:w="1987"/>
          </w:tcPr>
          <w:p>
            <w:r>
              <w:rPr>
                <w:rFonts w:ascii="Calibri" w:hAnsi="Calibri"/>
                <w:sz w:val="18"/>
              </w:rPr>
              <w:t>Medical appliances</w:t>
            </w:r>
          </w:p>
        </w:tc>
        <w:tc>
          <w:tcPr>
            <w:tcW w:type="dxa" w:w="1987"/>
          </w:tcPr>
          <w:p>
            <w:pPr>
              <w:jc w:val="right"/>
            </w:pPr>
            <w:r>
              <w:rPr>
                <w:rFonts w:ascii="Calibri" w:hAnsi="Calibri"/>
                <w:sz w:val="18"/>
              </w:rPr>
              <w:t>1,094</w:t>
            </w:r>
          </w:p>
        </w:tc>
        <w:tc>
          <w:tcPr>
            <w:tcW w:type="dxa" w:w="1987"/>
          </w:tcPr>
          <w:p>
            <w:pPr>
              <w:jc w:val="right"/>
            </w:pPr>
            <w:r>
              <w:rPr>
                <w:rFonts w:ascii="Calibri" w:hAnsi="Calibri"/>
                <w:sz w:val="18"/>
              </w:rPr>
              <w:t>2.7</w:t>
            </w:r>
          </w:p>
        </w:tc>
        <w:tc>
          <w:tcPr>
            <w:tcW w:type="dxa" w:w="1987"/>
          </w:tcPr>
          <w:p>
            <w:pPr>
              <w:jc w:val="right"/>
            </w:pPr>
            <w:r>
              <w:rPr>
                <w:rFonts w:ascii="Calibri" w:hAnsi="Calibri"/>
                <w:sz w:val="18"/>
              </w:rPr>
              <w:t>0.144</w:t>
            </w:r>
          </w:p>
        </w:tc>
        <w:tc>
          <w:tcPr>
            <w:tcW w:type="dxa" w:w="1987"/>
          </w:tcPr>
          <w:p>
            <w:pPr>
              <w:jc w:val="right"/>
            </w:pPr>
            <w:r>
              <w:rPr>
                <w:rFonts w:ascii="Calibri" w:hAnsi="Calibri"/>
                <w:sz w:val="18"/>
              </w:rPr>
              <w:t>157</w:t>
            </w:r>
          </w:p>
        </w:tc>
      </w:tr>
    </w:tbl>
    <w:p>
      <w:r>
        <w:rPr>
          <w:color w:val="253331"/>
          <w:sz w:val="18"/>
        </w:rPr>
        <w:t>Note. Five functions carry only three distinct intensities, because EXIOBASE has a single health and social work industry and the split is made by an output-prorated concordance after Malik et al. (2018). The services, pharmaceuticals and appliances distinction is a genuine intensity finding; the ordering within the three service functions carries no supply-chain information and should not be quoted as though it did. Genuine per-function recipes need the Danish 117-industry table.</w:t>
      </w:r>
    </w:p>
    <w:p>
      <w:r>
        <w:rPr>
          <w:color w:val="6B7F7B"/>
          <w:sz w:val="17"/>
        </w:rPr>
        <w:t>Source. 17_health_subsectors/footprint_by_health_function.csv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4,712.4</w:t>
            </w:r>
          </w:p>
        </w:tc>
        <w:tc>
          <w:tcPr>
            <w:tcW w:type="dxa" w:w="1419"/>
          </w:tcPr>
          <w:p>
            <w:pPr>
              <w:jc w:val="right"/>
            </w:pPr>
            <w:r>
              <w:rPr>
                <w:rFonts w:ascii="Calibri" w:hAnsi="Calibri"/>
                <w:sz w:val="18"/>
              </w:rPr>
              <w:t>4,733.7</w:t>
            </w:r>
          </w:p>
        </w:tc>
        <w:tc>
          <w:tcPr>
            <w:tcW w:type="dxa" w:w="1419"/>
          </w:tcPr>
          <w:p>
            <w:pPr>
              <w:jc w:val="right"/>
            </w:pPr>
            <w:r>
              <w:rPr>
                <w:rFonts w:ascii="Calibri" w:hAnsi="Calibri"/>
                <w:sz w:val="18"/>
              </w:rPr>
              <w:t>4,063.6</w:t>
            </w:r>
          </w:p>
        </w:tc>
        <w:tc>
          <w:tcPr>
            <w:tcW w:type="dxa" w:w="1419"/>
          </w:tcPr>
          <w:p>
            <w:pPr>
              <w:jc w:val="right"/>
            </w:pPr>
            <w:r>
              <w:rPr>
                <w:rFonts w:ascii="Calibri" w:hAnsi="Calibri"/>
                <w:sz w:val="18"/>
              </w:rPr>
              <w:t>5,531.3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4,259.4</w:t>
            </w:r>
          </w:p>
        </w:tc>
        <w:tc>
          <w:tcPr>
            <w:tcW w:type="dxa" w:w="1419"/>
          </w:tcPr>
          <w:p>
            <w:pPr>
              <w:jc w:val="right"/>
            </w:pPr>
            <w:r>
              <w:rPr>
                <w:rFonts w:ascii="Calibri" w:hAnsi="Calibri"/>
                <w:sz w:val="18"/>
              </w:rPr>
              <w:t>4,257.1</w:t>
            </w:r>
          </w:p>
        </w:tc>
        <w:tc>
          <w:tcPr>
            <w:tcW w:type="dxa" w:w="1419"/>
          </w:tcPr>
          <w:p>
            <w:pPr>
              <w:jc w:val="right"/>
            </w:pPr>
            <w:r>
              <w:rPr>
                <w:rFonts w:ascii="Calibri" w:hAnsi="Calibri"/>
                <w:sz w:val="18"/>
              </w:rPr>
              <w:t>3,619.2</w:t>
            </w:r>
          </w:p>
        </w:tc>
        <w:tc>
          <w:tcPr>
            <w:tcW w:type="dxa" w:w="1419"/>
          </w:tcPr>
          <w:p>
            <w:pPr>
              <w:jc w:val="right"/>
            </w:pPr>
            <w:r>
              <w:rPr>
                <w:rFonts w:ascii="Calibri" w:hAnsi="Calibri"/>
                <w:sz w:val="18"/>
              </w:rPr>
              <w:t>5,015.6</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95.5</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81.1</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4,855.5</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4,121.3</w:t>
            </w:r>
          </w:p>
        </w:tc>
        <w:tc>
          <w:tcPr>
            <w:tcW w:type="dxa" w:w="1419"/>
          </w:tcPr>
          <w:p>
            <w:pPr>
              <w:jc w:val="right"/>
            </w:pPr>
            <w:r>
              <w:rPr>
                <w:rFonts w:ascii="Calibri" w:hAnsi="Calibri"/>
                <w:sz w:val="18"/>
              </w:rPr>
              <w:t>5,721.5</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259.6</w:t>
            </w:r>
          </w:p>
        </w:tc>
        <w:tc>
          <w:tcPr>
            <w:tcW w:type="dxa" w:w="1419"/>
          </w:tcPr>
          <w:p>
            <w:pPr>
              <w:jc w:val="right"/>
            </w:pPr>
            <w:r>
              <w:rPr>
                <w:rFonts w:ascii="Calibri" w:hAnsi="Calibri"/>
                <w:sz w:val="18"/>
              </w:rPr>
              <w:t>225.7</w:t>
            </w:r>
          </w:p>
        </w:tc>
        <w:tc>
          <w:tcPr>
            <w:tcW w:type="dxa" w:w="1419"/>
          </w:tcPr>
          <w:p>
            <w:pPr>
              <w:jc w:val="right"/>
            </w:pPr>
            <w:r>
              <w:rPr>
                <w:rFonts w:ascii="Calibri" w:hAnsi="Calibri"/>
                <w:sz w:val="18"/>
              </w:rPr>
              <w:t>299.1</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78.8</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9.29</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6.73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5.12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0.0934</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0.00737</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0.00195</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4,712.4</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-2,356.2</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-360.9</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-361.2</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15.3</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-633.4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26.9</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-284.2</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76.8</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848.2</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214.8</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-13.44</w:t>
            </w:r>
          </w:p>
        </w:tc>
        <w:tc>
          <w:tcPr>
            <w:tcW w:type="dxa" w:w="1656"/>
          </w:tcPr>
          <w:p>
            <w:pPr>
              <w:jc w:val="right"/>
            </w:pPr>
            <w:r>
              <w:rPr>
                <w:rFonts w:ascii="Calibri" w:hAnsi="Calibri"/>
                <w:sz w:val="18"/>
              </w:rPr>
              <w:t>-4.78</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-1.44</w:t>
            </w:r>
          </w:p>
        </w:tc>
        <w:tc>
          <w:tcPr>
            <w:tcW w:type="dxa" w:w="1656"/>
          </w:tcPr>
          <w:p>
            <w:pPr>
              <w:jc w:val="right"/>
            </w:pPr>
            <w:r>
              <w:rPr>
                <w:rFonts w:ascii="Calibri" w:hAnsi="Calibri"/>
                <w:sz w:val="18"/>
              </w:rPr>
              <w:t>-3.41</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-7.66</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  KF22 to 2035</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  KF22 to 2030</w:t>
            </w:r>
          </w:p>
        </w:tc>
        <w:tc>
          <w:tcPr>
            <w:tcW w:type="dxa" w:w="1656"/>
          </w:tcPr>
          <w:p>
            <w:pPr>
              <w:jc w:val="right"/>
            </w:pPr>
            <w:r>
              <w:rPr>
                <w:rFonts w:ascii="Calibri" w:hAnsi="Calibri"/>
                <w:sz w:val="18"/>
              </w:rPr>
              <w:t>-6.72</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-6.03</w:t>
            </w:r>
          </w:p>
        </w:tc>
        <w:tc>
          <w:tcPr>
            <w:tcW w:type="dxa" w:w="1656"/>
          </w:tcPr>
          <w:p>
            <w:pPr>
              <w:jc w:val="right"/>
            </w:pPr>
            <w:r>
              <w:rPr>
                <w:rFonts w:ascii="Calibri" w:hAnsi="Calibri"/>
                <w:sz w:val="18"/>
              </w:rPr>
              <w:t>-2.63</w:t>
            </w:r>
          </w:p>
        </w:tc>
        <w:tc>
          <w:tcPr>
            <w:tcW w:type="dxa" w:w="1656"/>
          </w:tcPr>
          <w:p>
            <w:pPr>
              <w:jc w:val="right"/>
            </w:pPr>
            <w:r>
              <w:rPr>
                <w:rFonts w:ascii="Calibri" w:hAnsi="Calibri"/>
                <w:sz w:val="18"/>
              </w:rPr>
              <w:t>0.63</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0.27</w:t>
            </w:r>
          </w:p>
        </w:tc>
      </w:tr>
      <w:tr>
        <w:tc>
          <w:tcPr>
            <w:tcW w:type="dxa" w:w="1656"/>
          </w:tcPr>
          <w:p>
            <w:r>
              <w:rPr>
                <w:rFonts w:ascii="Calibri" w:hAnsi="Calibri"/>
                <w:sz w:val="18"/>
              </w:rPr>
              <w:t>B1  KF25 to 2035</w:t>
            </w:r>
          </w:p>
        </w:tc>
        <w:tc>
          <w:tcPr>
            <w:tcW w:type="dxa" w:w="1656"/>
          </w:tcPr>
          <w:p>
            <w:pPr>
              <w:jc w:val="right"/>
            </w:pPr>
            <w:r>
              <w:rPr>
                <w:rFonts w:ascii="Calibri" w:hAnsi="Calibri"/>
                <w:sz w:val="18"/>
              </w:rPr>
              <w:t>-5.99</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B1  KF25 to 2030</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-3.99</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P5  -20%</w:t>
            </w:r>
          </w:p>
        </w:tc>
        <w:tc>
          <w:tcPr>
            <w:tcW w:type="dxa" w:w="1656"/>
          </w:tcPr>
          <w:p>
            <w:pPr>
              <w:jc w:val="right"/>
            </w:pPr>
            <w:r>
              <w:rPr>
                <w:rFonts w:ascii="Calibri" w:hAnsi="Calibri"/>
                <w:sz w:val="18"/>
              </w:rPr>
              <w:t>-2.66</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-1.61</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-1.33</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-1.13</w:t>
            </w:r>
          </w:p>
        </w:tc>
        <w:tc>
          <w:tcPr>
            <w:tcW w:type="dxa" w:w="1656"/>
          </w:tcPr>
          <w:p>
            <w:pPr>
              <w:jc w:val="right"/>
            </w:pPr>
            <w:r>
              <w:rPr>
                <w:rFonts w:ascii="Calibri" w:hAnsi="Calibri"/>
                <w:sz w:val="18"/>
              </w:rPr>
              <w:t>-0.51</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-0.56</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09_vintage_diagnostics/dk_block_vs_national_accounts.csv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