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w:t>
        </w:r>
        <w:r>
          <w:t xml:space="preserve">Applied to</w:t>
        </w:r>
        <w:r>
          <w:t xml:space="preserve">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4A7C9A0A"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w:t>
        </w:r>
        <w:r>
          <w:t xml:space="preserve">the </w:t>
        </w:r>
        <w:r>
          <w:t xml:space="preserve">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w:t>
        </w:r>
        <w:r>
          <w:t xml:space="preserve">2</w:t>
        </w:r>
        <w:r>
          <w:t xml:space="preserve"> and patient and visitor </w:t>
        </w:r>
        <w:r>
          <w:t xml:space="preserve">travel, so that the four parts</w:t>
        </w:r>
        <w:r>
          <w:t xml:space="preserve">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74B8A09C"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69F3222F"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7"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w:t>
        </w:r>
        <w:r>
          <w:t xml:space="preserve">it; reported ratios exist only for climate change</w:t>
        </w:r>
        <w:r>
          <w:t xml:space="preserve"> and </w:t>
        </w:r>
        <w:r>
          <w:t xml:space="preserve">material extraction, not</w:t>
        </w:r>
        <w:r>
          <w:t xml:space="preserve"> for </w:t>
        </w:r>
        <w:r>
          <w:t xml:space="preserve">blue water consumption, land use or waste generation.</w:t>
        </w:r>
        <w:r>
          <w:t xml:space="preserve"> </w:t>
        </w:r>
        <w:r>
          <w:t xml:space="preserve">Matched to the boundary and capital treatment of the closest Danish comparator (Appendix A, Validation against published Danish footprints), the published column lies within 3% of its figure, whereas the chemicals-intensity correction overshoots it by 25% and the pharmaceutical-intensity correction undershoots it by 9%; the comparison checks structure rather than the exact figure, but only the published column stays within a few per cent of it.</w:t>
        </w:r>
        <w:r>
          <w:t xml:space="preserve">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3A87EDB9" w14:textId="77777777">
      <w:pPr>
        <w:spacing w:after="160"/>
        <w:rPr>
          <w:ins w:id="52486" w:author="Albert Kwame Osei-Owusu" w:date="2026-10-21T20:00:00Z"/>
        </w:rPr>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w:t>
        </w:r>
      </w:ins>
    </w:p>
    <w:p w14:paraId="148BE548" w14:textId="77777777" w:rsidR="00DD79B1" w:rsidRDefault="00A6040C" w:rsidP="004C5A97">
      <w:pPr>
        <w:spacing w:after="160"/>
      </w:pPr>
      <w:ins w:id="52485" w:author="Albert Kwame Osei-Owusu" w:date="2026-10-21T20:00:00Z">
        <w:r>
          <w:t xml:space="preserve">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t>
        </w:r>
        <w:r>
          <w:t xml:space="preserve">The two travel terms and</w:t>
        </w:r>
        <w:r>
          <w:t xml:space="preserve"> their </w:t>
        </w:r>
        <w:r>
          <w:t xml:space="preserve">covariance</w:t>
        </w:r>
        <w:r>
          <w:t xml:space="preserve"> account for </w:t>
        </w:r>
        <w:r>
          <w:t xml:space="preserve">30.3%</w:t>
        </w:r>
        <w:r>
          <w:t xml:space="preserve"> of the variance of the climate footprint, </w:t>
        </w:r>
        <w:r>
          <w:t xml:space="preserve">and the gas terms for almost none,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557E214B"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2021C665"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2026-10-22T02:40:41Z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