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97.6</w:t>
            </w:r>
          </w:p>
        </w:tc>
        <w:tc>
          <w:tcPr>
            <w:tcW w:type="dxa" w:w="1656"/>
          </w:tcPr>
          <w:p>
            <w:pPr>
              <w:jc w:val="right"/>
            </w:pPr>
            <w:r>
              <w:rPr>
                <w:rFonts w:ascii="Calibri" w:hAnsi="Calibri"/>
                <w:sz w:val="18"/>
              </w:rPr>
              <w:t>16.6</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6,087.3</w:t>
            </w:r>
          </w:p>
        </w:tc>
        <w:tc>
          <w:tcPr>
            <w:tcW w:type="dxa" w:w="1656"/>
          </w:tcPr>
          <w:p>
            <w:pPr>
              <w:jc w:val="right"/>
            </w:pPr>
            <w:r>
              <w:rPr>
                <w:rFonts w:ascii="Calibri" w:hAnsi="Calibri"/>
                <w:sz w:val="18"/>
              </w:rPr>
              <w:t>1,036.4</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7.9</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4,990.7</w:t>
            </w:r>
          </w:p>
        </w:tc>
        <w:tc>
          <w:tcPr>
            <w:tcW w:type="dxa" w:w="1656"/>
          </w:tcPr>
          <w:p>
            <w:pPr>
              <w:jc w:val="right"/>
            </w:pPr>
            <w:r>
              <w:rPr>
                <w:rFonts w:ascii="Calibri" w:hAnsi="Calibri"/>
                <w:sz w:val="18"/>
              </w:rPr>
              <w:t>849.7</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5.0</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4,341.8</w:t>
            </w:r>
          </w:p>
        </w:tc>
        <w:tc>
          <w:tcPr>
            <w:tcW w:type="dxa" w:w="1656"/>
          </w:tcPr>
          <w:p>
            <w:pPr>
              <w:jc w:val="right"/>
            </w:pPr>
            <w:r>
              <w:rPr>
                <w:rFonts w:ascii="Calibri" w:hAnsi="Calibri"/>
                <w:sz w:val="18"/>
              </w:rPr>
              <w:t>739.2</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8.1</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264.7</w:t>
            </w:r>
          </w:p>
        </w:tc>
        <w:tc>
          <w:tcPr>
            <w:tcW w:type="dxa" w:w="1656"/>
          </w:tcPr>
          <w:p>
            <w:pPr>
              <w:jc w:val="right"/>
            </w:pPr>
            <w:r>
              <w:rPr>
                <w:rFonts w:ascii="Calibri" w:hAnsi="Calibri"/>
                <w:sz w:val="18"/>
              </w:rPr>
              <w:t>45.1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01_eriksen_replication/2022_uncorrected/figure1_activity_contributions.csv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6,360.4</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-26.5</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-2,038.6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886.5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-301.1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-194.7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29.9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1.6</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97.45</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97.59</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5,618.46</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6,085.49</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4,989.95</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4,990.71</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4,330.93</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4,341.84</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219.03</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262.26</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02_scopes_wood_hertwich/2022_uncorrected/scopes_summary_detailed.csv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1.8 %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6.40</w:t>
            </w:r>
          </w:p>
        </w:tc>
        <w:tc>
          <w:tcPr>
            <w:tcW w:type="dxa" w:w="1987"/>
          </w:tcPr>
          <w:p>
            <w:pPr>
              <w:jc w:val="right"/>
            </w:pPr>
            <w:r>
              <w:rPr>
                <w:rFonts w:ascii="Calibri" w:hAnsi="Calibri"/>
                <w:sz w:val="18"/>
              </w:rPr>
              <w:t>1.089</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7.90</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8.33</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8.36</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8.38</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7.17</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90.6 % and would not be a decomposition. The input-output share is stable between 78.4 % and 78.6 %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19.7 %, which this table states as a row of its own, and the interventions alone reach 15.4 %.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4.675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