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2026-09-11</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95.4</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4,675.5</w:t>
            </w:r>
          </w:p>
        </w:tc>
        <w:tc>
          <w:tcPr>
            <w:tcW w:type="dxa" w:w="1656"/>
          </w:tcPr>
          <w:p>
            <w:pPr>
              <w:jc w:val="right"/>
            </w:pPr>
            <w:r>
              <w:rPr>
                <w:rFonts w:ascii="Calibri" w:hAnsi="Calibri"/>
                <w:sz w:val="18"/>
              </w:rPr>
              <w:t>796.0</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4,851.8</w:t>
            </w:r>
          </w:p>
        </w:tc>
        <w:tc>
          <w:tcPr>
            <w:tcW w:type="dxa" w:w="1656"/>
          </w:tcPr>
          <w:p>
            <w:pPr>
              <w:jc w:val="right"/>
            </w:pPr>
            <w:r>
              <w:rPr>
                <w:rFonts w:ascii="Calibri" w:hAnsi="Calibri"/>
                <w:sz w:val="18"/>
              </w:rPr>
              <w:t>826.1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4,257.2</w:t>
            </w:r>
          </w:p>
        </w:tc>
        <w:tc>
          <w:tcPr>
            <w:tcW w:type="dxa" w:w="1656"/>
          </w:tcPr>
          <w:p>
            <w:pPr>
              <w:jc w:val="right"/>
            </w:pPr>
            <w:r>
              <w:rPr>
                <w:rFonts w:ascii="Calibri" w:hAnsi="Calibri"/>
                <w:sz w:val="18"/>
              </w:rPr>
              <w:t>724.8</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44.1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2.4</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01_eriksen_replication/2022_shipping_corrected/figure1_activity_contributions.csv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6,360.4</w:t>
            </w:r>
          </w:p>
        </w:tc>
        <w:tc>
          <w:tcPr>
            <w:tcW w:type="dxa" w:w="1987"/>
          </w:tcPr>
          <w:p>
            <w:pPr>
              <w:jc w:val="right"/>
            </w:pPr>
            <w:r>
              <w:rPr>
                <w:rFonts w:ascii="Calibri" w:hAnsi="Calibri"/>
                <w:sz w:val="18"/>
              </w:rPr>
              <w:t>4,675.5</w:t>
            </w:r>
          </w:p>
        </w:tc>
        <w:tc>
          <w:tcPr>
            <w:tcW w:type="dxa" w:w="1987"/>
          </w:tcPr>
          <w:p>
            <w:pPr>
              <w:jc w:val="right"/>
            </w:pPr>
            <w:r>
              <w:rPr>
                <w:rFonts w:ascii="Calibri" w:hAnsi="Calibri"/>
                <w:sz w:val="18"/>
              </w:rPr>
              <w:t>-26.5</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4,257.2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-2,038.6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886.5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-301.1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-194.7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-41.2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29.9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1.6</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95.30</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95.45</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4,206.60</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4,673.63</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4,851.07</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4,851.83</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4,246.25</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4,257.17</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213.57</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256.80</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13.15 t per person; the three national-accounts-family results sit between 9.77 and 11.00. This study is within 1.9 % of the only other published Danish EXIOBASE study, and between 17 % and 35 % above the national-accounts family, as that family's own members are above one another. The gap against Statistics Denmark is therefore a property of the model family rather than an error in this implementation. The five estimates span a coefficient of variation of 12.7 %,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1.8 %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4.68</w:t>
            </w:r>
          </w:p>
        </w:tc>
        <w:tc>
          <w:tcPr>
            <w:tcW w:type="dxa" w:w="1987"/>
          </w:tcPr>
          <w:p>
            <w:pPr>
              <w:jc w:val="right"/>
            </w:pPr>
            <w:r>
              <w:rPr>
                <w:rFonts w:ascii="Calibri" w:hAnsi="Calibri"/>
                <w:sz w:val="18"/>
              </w:rPr>
              <w:t>0.796</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6.40</w:t>
            </w:r>
          </w:p>
        </w:tc>
        <w:tc>
          <w:tcPr>
            <w:tcW w:type="dxa" w:w="1987"/>
          </w:tcPr>
          <w:p>
            <w:pPr>
              <w:jc w:val="right"/>
            </w:pPr>
            <w:r>
              <w:rPr>
                <w:rFonts w:ascii="Calibri" w:hAnsi="Calibri"/>
                <w:sz w:val="18"/>
              </w:rPr>
              <w:t>1.089</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3,703.5</w:t>
            </w:r>
          </w:p>
        </w:tc>
      </w:tr>
      <w:tr>
        <w:tc>
          <w:tcPr>
            <w:tcW w:type="dxa" w:w="4968"/>
          </w:tcPr>
          <w:p>
            <w:r>
              <w:rPr>
                <w:rFonts w:ascii="Calibri" w:hAnsi="Calibri"/>
                <w:sz w:val="18"/>
              </w:rPr>
              <w:t>IPCC TAR (2001)</w:t>
            </w:r>
          </w:p>
        </w:tc>
        <w:tc>
          <w:tcPr>
            <w:tcW w:type="dxa" w:w="4968"/>
          </w:tcPr>
          <w:p>
            <w:pPr>
              <w:jc w:val="right"/>
            </w:pPr>
            <w:r>
              <w:rPr>
                <w:rFonts w:ascii="Calibri" w:hAnsi="Calibri"/>
                <w:sz w:val="18"/>
              </w:rPr>
              <w:t>3,753.7</w:t>
            </w:r>
          </w:p>
        </w:tc>
      </w:tr>
      <w:tr>
        <w:tc>
          <w:tcPr>
            <w:tcW w:type="dxa" w:w="4968"/>
          </w:tcPr>
          <w:p>
            <w:r>
              <w:rPr>
                <w:rFonts w:ascii="Calibri" w:hAnsi="Calibri"/>
                <w:sz w:val="18"/>
              </w:rPr>
              <w:t>IPCC AR4 (2007)</w:t>
            </w:r>
          </w:p>
        </w:tc>
        <w:tc>
          <w:tcPr>
            <w:tcW w:type="dxa" w:w="4968"/>
          </w:tcPr>
          <w:p>
            <w:pPr>
              <w:jc w:val="right"/>
            </w:pPr>
            <w:r>
              <w:rPr>
                <w:rFonts w:ascii="Calibri" w:hAnsi="Calibri"/>
                <w:sz w:val="18"/>
              </w:rPr>
              <w:t>3,818.4</w:t>
            </w:r>
          </w:p>
        </w:tc>
      </w:tr>
      <w:tr>
        <w:tc>
          <w:tcPr>
            <w:tcW w:type="dxa" w:w="4968"/>
          </w:tcPr>
          <w:p>
            <w:r>
              <w:rPr>
                <w:rFonts w:ascii="Calibri" w:hAnsi="Calibri"/>
                <w:sz w:val="18"/>
              </w:rPr>
              <w:t>IPCC AR5 (2013)</w:t>
            </w:r>
          </w:p>
        </w:tc>
        <w:tc>
          <w:tcPr>
            <w:tcW w:type="dxa" w:w="4968"/>
          </w:tcPr>
          <w:p>
            <w:pPr>
              <w:jc w:val="right"/>
            </w:pPr>
            <w:r>
              <w:rPr>
                <w:rFonts w:ascii="Calibri" w:hAnsi="Calibri"/>
                <w:sz w:val="18"/>
              </w:rPr>
              <w:t>3,918.1</w:t>
            </w:r>
          </w:p>
        </w:tc>
      </w:tr>
      <w:tr>
        <w:tc>
          <w:tcPr>
            <w:tcW w:type="dxa" w:w="4968"/>
          </w:tcPr>
          <w:p>
            <w:r>
              <w:rPr>
                <w:rFonts w:ascii="Calibri" w:hAnsi="Calibri"/>
                <w:sz w:val="18"/>
              </w:rPr>
              <w:t>IPCC AR6 (2021)</w:t>
            </w:r>
          </w:p>
        </w:tc>
        <w:tc>
          <w:tcPr>
            <w:tcW w:type="dxa" w:w="4968"/>
          </w:tcPr>
          <w:p>
            <w:pPr>
              <w:jc w:val="right"/>
            </w:pPr>
            <w:r>
              <w:rPr>
                <w:rFonts w:ascii="Calibri" w:hAnsi="Calibri"/>
                <w:sz w:val="18"/>
              </w:rPr>
              <w:t>3,906.4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4,675.5</w:t>
            </w:r>
          </w:p>
        </w:tc>
        <w:tc>
          <w:tcPr>
            <w:tcW w:type="dxa" w:w="1419"/>
          </w:tcPr>
          <w:p>
            <w:pPr>
              <w:jc w:val="right"/>
            </w:pPr>
            <w:r>
              <w:rPr>
                <w:rFonts w:ascii="Calibri" w:hAnsi="Calibri"/>
                <w:sz w:val="18"/>
              </w:rPr>
              <w:t>4,696.5</w:t>
            </w:r>
          </w:p>
        </w:tc>
        <w:tc>
          <w:tcPr>
            <w:tcW w:type="dxa" w:w="1419"/>
          </w:tcPr>
          <w:p>
            <w:pPr>
              <w:jc w:val="right"/>
            </w:pPr>
            <w:r>
              <w:rPr>
                <w:rFonts w:ascii="Calibri" w:hAnsi="Calibri"/>
                <w:sz w:val="18"/>
              </w:rPr>
              <w:t>4,031.6</w:t>
            </w:r>
          </w:p>
        </w:tc>
        <w:tc>
          <w:tcPr>
            <w:tcW w:type="dxa" w:w="1419"/>
          </w:tcPr>
          <w:p>
            <w:pPr>
              <w:jc w:val="right"/>
            </w:pPr>
            <w:r>
              <w:rPr>
                <w:rFonts w:ascii="Calibri" w:hAnsi="Calibri"/>
                <w:sz w:val="18"/>
              </w:rPr>
              <w:t>5,488.3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7.90</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4,257.2</w:t>
            </w:r>
          </w:p>
        </w:tc>
        <w:tc>
          <w:tcPr>
            <w:tcW w:type="dxa" w:w="1419"/>
          </w:tcPr>
          <w:p>
            <w:pPr>
              <w:jc w:val="right"/>
            </w:pPr>
            <w:r>
              <w:rPr>
                <w:rFonts w:ascii="Calibri" w:hAnsi="Calibri"/>
                <w:sz w:val="18"/>
              </w:rPr>
              <w:t>4,254.9</w:t>
            </w:r>
          </w:p>
        </w:tc>
        <w:tc>
          <w:tcPr>
            <w:tcW w:type="dxa" w:w="1419"/>
          </w:tcPr>
          <w:p>
            <w:pPr>
              <w:jc w:val="right"/>
            </w:pPr>
            <w:r>
              <w:rPr>
                <w:rFonts w:ascii="Calibri" w:hAnsi="Calibri"/>
                <w:sz w:val="18"/>
              </w:rPr>
              <w:t>3,617.3</w:t>
            </w:r>
          </w:p>
        </w:tc>
        <w:tc>
          <w:tcPr>
            <w:tcW w:type="dxa" w:w="1419"/>
          </w:tcPr>
          <w:p>
            <w:pPr>
              <w:jc w:val="right"/>
            </w:pPr>
            <w:r>
              <w:rPr>
                <w:rFonts w:ascii="Calibri" w:hAnsi="Calibri"/>
                <w:sz w:val="18"/>
              </w:rPr>
              <w:t>5,013.0</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8.33</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8.36</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4,848.2</w:t>
            </w:r>
          </w:p>
        </w:tc>
        <w:tc>
          <w:tcPr>
            <w:tcW w:type="dxa" w:w="1419"/>
          </w:tcPr>
          <w:p>
            <w:pPr>
              <w:jc w:val="right"/>
            </w:pPr>
            <w:r>
              <w:rPr>
                <w:rFonts w:ascii="Calibri" w:hAnsi="Calibri"/>
                <w:sz w:val="18"/>
              </w:rPr>
              <w:t>4,118.2</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8.38</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7.17</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9.43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6.83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5.20</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0.0948</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0.00748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0.00198</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90.6 % and would not be a decomposition. The input-output share is stable between 78.4 % and 78.6 % across every correlation assumption tested (uncertainty_variance_shares_by_correlation.csv),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4,675.5</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-2,337.7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15.4</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19.7</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-281.5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841.6</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381.2</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19.7 %, which this table states as a row of its own, and the interventions alone reach 15.4 %. A caption of 27 % also circulates: that is the B1G variant, which applies the Danish grid trajectory to every region's grid and is reported as an upper bound rather than an evidenced pathway.</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-9.85</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-6.86</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-6.77</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-6.02</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-5.78</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-4.03</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-3.11</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-3.07</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-2.74</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-2.68</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-1.34</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an Eora MRIO Monte Carlo, transferred from their 2.84 Mt to this study's 4.675 Mt</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patient travel from the Danish travel survey (TU Tabel 15, purpose 33); the VISITOR part alone has no Danish source, carrying the NHS England ratio 0.236 (Tennison 2021)</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