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2026-09-11</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95.4</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1,276.1</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4,675.5</w:t>
            </w:r>
          </w:p>
        </w:tc>
        <w:tc>
          <w:tcPr>
            <w:tcW w:type="dxa" w:w="1656"/>
          </w:tcPr>
          <w:p>
            <w:pPr>
              <w:jc w:val="right"/>
            </w:pPr>
            <w:r>
              <w:rPr>
                <w:rFonts w:ascii="Calibri" w:hAnsi="Calibri"/>
                <w:sz w:val="18"/>
              </w:rPr>
              <w:t>796.0</w:t>
            </w:r>
          </w:p>
        </w:tc>
        <w:tc>
          <w:tcPr>
            <w:tcW w:type="dxa" w:w="1656"/>
          </w:tcPr>
          <w:p>
            <w:pPr>
              <w:jc w:val="right"/>
            </w:pPr>
            <w:r>
              <w:rPr>
                <w:rFonts w:ascii="Calibri" w:hAnsi="Calibri"/>
                <w:sz w:val="18"/>
              </w:rPr>
              <w:t>77,240.6</w:t>
            </w:r>
          </w:p>
        </w:tc>
        <w:tc>
          <w:tcPr>
            <w:tcW w:type="dxa" w:w="1656"/>
          </w:tcPr>
          <w:p>
            <w:pPr>
              <w:jc w:val="right"/>
            </w:pPr>
            <w:r>
              <w:rPr>
                <w:rFonts w:ascii="Calibri" w:hAnsi="Calibri"/>
                <w:sz w:val="18"/>
              </w:rPr>
              <w:t>6.1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4,851.8</w:t>
            </w:r>
          </w:p>
        </w:tc>
        <w:tc>
          <w:tcPr>
            <w:tcW w:type="dxa" w:w="1656"/>
          </w:tcPr>
          <w:p>
            <w:pPr>
              <w:jc w:val="right"/>
            </w:pPr>
            <w:r>
              <w:rPr>
                <w:rFonts w:ascii="Calibri" w:hAnsi="Calibri"/>
                <w:sz w:val="18"/>
              </w:rPr>
              <w:t>826.1</w:t>
            </w:r>
          </w:p>
        </w:tc>
        <w:tc>
          <w:tcPr>
            <w:tcW w:type="dxa" w:w="1656"/>
          </w:tcPr>
          <w:p>
            <w:pPr>
              <w:jc w:val="right"/>
            </w:pPr>
            <w:r>
              <w:rPr>
                <w:rFonts w:ascii="Calibri" w:hAnsi="Calibri"/>
                <w:sz w:val="18"/>
              </w:rPr>
              <w:t>99,442.9</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4,257.2</w:t>
            </w:r>
          </w:p>
        </w:tc>
        <w:tc>
          <w:tcPr>
            <w:tcW w:type="dxa" w:w="1656"/>
          </w:tcPr>
          <w:p>
            <w:pPr>
              <w:jc w:val="right"/>
            </w:pPr>
            <w:r>
              <w:rPr>
                <w:rFonts w:ascii="Calibri" w:hAnsi="Calibri"/>
                <w:sz w:val="18"/>
              </w:rPr>
              <w:t>724.8</w:t>
            </w:r>
          </w:p>
        </w:tc>
        <w:tc>
          <w:tcPr>
            <w:tcW w:type="dxa" w:w="1656"/>
          </w:tcPr>
          <w:p>
            <w:pPr>
              <w:jc w:val="right"/>
            </w:pPr>
            <w:r>
              <w:rPr>
                <w:rFonts w:ascii="Calibri" w:hAnsi="Calibri"/>
                <w:sz w:val="18"/>
              </w:rPr>
              <w:t>53,925.1</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44.1</w:t>
            </w:r>
          </w:p>
        </w:tc>
        <w:tc>
          <w:tcPr>
            <w:tcW w:type="dxa" w:w="1656"/>
          </w:tcPr>
          <w:p>
            <w:pPr>
              <w:jc w:val="right"/>
            </w:pPr>
            <w:r>
              <w:rPr>
                <w:rFonts w:ascii="Calibri" w:hAnsi="Calibri"/>
                <w:sz w:val="18"/>
              </w:rPr>
              <w:t>10,586.4</w:t>
            </w:r>
          </w:p>
        </w:tc>
        <w:tc>
          <w:tcPr>
            <w:tcW w:type="dxa" w:w="1656"/>
          </w:tcPr>
          <w:p>
            <w:pPr>
              <w:jc w:val="right"/>
            </w:pPr>
            <w:r>
              <w:rPr>
                <w:rFonts w:ascii="Calibri" w:hAnsi="Calibri"/>
                <w:sz w:val="18"/>
              </w:rPr>
              <w:t>2.4</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01_eriksen_replication/2022_shipping_corrected/figure1_activity_contributions.csv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95.4</w:t>
            </w:r>
          </w:p>
        </w:tc>
        <w:tc>
          <w:tcPr>
            <w:tcW w:type="dxa" w:w="1987"/>
          </w:tcPr>
          <w:p>
            <w:pPr>
              <w:jc w:val="right"/>
            </w:pPr>
            <w:r>
              <w:rPr>
                <w:rFonts w:ascii="Calibri" w:hAnsi="Calibri"/>
                <w:sz w:val="18"/>
              </w:rPr>
              <w:t>66.1</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6,360.4</w:t>
            </w:r>
          </w:p>
        </w:tc>
        <w:tc>
          <w:tcPr>
            <w:tcW w:type="dxa" w:w="1987"/>
          </w:tcPr>
          <w:p>
            <w:pPr>
              <w:jc w:val="right"/>
            </w:pPr>
            <w:r>
              <w:rPr>
                <w:rFonts w:ascii="Calibri" w:hAnsi="Calibri"/>
                <w:sz w:val="18"/>
              </w:rPr>
              <w:t>4,675.5</w:t>
            </w:r>
          </w:p>
        </w:tc>
        <w:tc>
          <w:tcPr>
            <w:tcW w:type="dxa" w:w="1987"/>
          </w:tcPr>
          <w:p>
            <w:pPr>
              <w:jc w:val="right"/>
            </w:pPr>
            <w:r>
              <w:rPr>
                <w:rFonts w:ascii="Calibri" w:hAnsi="Calibri"/>
                <w:sz w:val="18"/>
              </w:rPr>
              <w:t>-26.5</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4,851.8</w:t>
            </w:r>
          </w:p>
        </w:tc>
        <w:tc>
          <w:tcPr>
            <w:tcW w:type="dxa" w:w="1987"/>
          </w:tcPr>
          <w:p>
            <w:pPr>
              <w:jc w:val="right"/>
            </w:pPr>
            <w:r>
              <w:rPr>
                <w:rFonts w:ascii="Calibri" w:hAnsi="Calibri"/>
                <w:sz w:val="18"/>
              </w:rPr>
              <w:t>38.0</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4,257.2</w:t>
            </w:r>
          </w:p>
        </w:tc>
        <w:tc>
          <w:tcPr>
            <w:tcW w:type="dxa" w:w="1987"/>
          </w:tcPr>
          <w:p>
            <w:pPr>
              <w:jc w:val="right"/>
            </w:pPr>
            <w:r>
              <w:rPr>
                <w:rFonts w:ascii="Calibri" w:hAnsi="Calibri"/>
                <w:sz w:val="18"/>
              </w:rPr>
              <w:t>36.1</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259.3</w:t>
            </w:r>
          </w:p>
        </w:tc>
        <w:tc>
          <w:tcPr>
            <w:tcW w:type="dxa" w:w="1987"/>
          </w:tcPr>
          <w:p>
            <w:pPr>
              <w:jc w:val="right"/>
            </w:pPr>
            <w:r>
              <w:rPr>
                <w:rFonts w:ascii="Calibri" w:hAnsi="Calibri"/>
                <w:sz w:val="18"/>
              </w:rPr>
              <w:t>-5.8</w:t>
            </w:r>
          </w:p>
        </w:tc>
      </w:tr>
    </w:tbl>
    <w:p>
      <w:r>
        <w:rPr>
          <w:color w:val="253331"/>
          <w:sz w:val="18"/>
        </w:rPr>
        <w:t>Note. The runs differ in reference year, in background year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2,605.2</w:t>
            </w:r>
          </w:p>
        </w:tc>
        <w:tc>
          <w:tcPr>
            <w:tcW w:type="dxa" w:w="1987"/>
          </w:tcPr>
          <w:p>
            <w:pPr>
              <w:jc w:val="right"/>
            </w:pPr>
            <w:r>
              <w:rPr>
                <w:rFonts w:ascii="Calibri" w:hAnsi="Calibri"/>
                <w:sz w:val="18"/>
              </w:rPr>
              <w:t>566.5</w:t>
            </w:r>
          </w:p>
        </w:tc>
        <w:tc>
          <w:tcPr>
            <w:tcW w:type="dxa" w:w="1987"/>
          </w:tcPr>
          <w:p>
            <w:pPr>
              <w:jc w:val="right"/>
            </w:pPr>
            <w:r>
              <w:rPr>
                <w:rFonts w:ascii="Calibri" w:hAnsi="Calibri"/>
                <w:sz w:val="18"/>
              </w:rPr>
              <w:t>-2,038.6</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851.0</w:t>
            </w:r>
          </w:p>
        </w:tc>
        <w:tc>
          <w:tcPr>
            <w:tcW w:type="dxa" w:w="1987"/>
          </w:tcPr>
          <w:p>
            <w:pPr>
              <w:jc w:val="right"/>
            </w:pPr>
            <w:r>
              <w:rPr>
                <w:rFonts w:ascii="Calibri" w:hAnsi="Calibri"/>
                <w:sz w:val="18"/>
              </w:rPr>
              <w:t>1,737.4</w:t>
            </w:r>
          </w:p>
        </w:tc>
        <w:tc>
          <w:tcPr>
            <w:tcW w:type="dxa" w:w="1987"/>
          </w:tcPr>
          <w:p>
            <w:pPr>
              <w:jc w:val="right"/>
            </w:pPr>
            <w:r>
              <w:rPr>
                <w:rFonts w:ascii="Calibri" w:hAnsi="Calibri"/>
                <w:sz w:val="18"/>
              </w:rPr>
              <w:t>886.5</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914.4</w:t>
            </w:r>
          </w:p>
        </w:tc>
        <w:tc>
          <w:tcPr>
            <w:tcW w:type="dxa" w:w="1987"/>
          </w:tcPr>
          <w:p>
            <w:pPr>
              <w:jc w:val="right"/>
            </w:pPr>
            <w:r>
              <w:rPr>
                <w:rFonts w:ascii="Calibri" w:hAnsi="Calibri"/>
                <w:sz w:val="18"/>
              </w:rPr>
              <w:t>613.4</w:t>
            </w:r>
          </w:p>
        </w:tc>
        <w:tc>
          <w:tcPr>
            <w:tcW w:type="dxa" w:w="1987"/>
          </w:tcPr>
          <w:p>
            <w:pPr>
              <w:jc w:val="right"/>
            </w:pPr>
            <w:r>
              <w:rPr>
                <w:rFonts w:ascii="Calibri" w:hAnsi="Calibri"/>
                <w:sz w:val="18"/>
              </w:rPr>
              <w:t>-301.1</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Other</w:t>
            </w:r>
          </w:p>
        </w:tc>
        <w:tc>
          <w:tcPr>
            <w:tcW w:type="dxa" w:w="1987"/>
          </w:tcPr>
          <w:p>
            <w:pPr>
              <w:jc w:val="right"/>
            </w:pPr>
            <w:r>
              <w:rPr>
                <w:rFonts w:ascii="Calibri" w:hAnsi="Calibri"/>
                <w:sz w:val="18"/>
              </w:rPr>
              <w:t>487.6</w:t>
            </w:r>
          </w:p>
        </w:tc>
        <w:tc>
          <w:tcPr>
            <w:tcW w:type="dxa" w:w="1987"/>
          </w:tcPr>
          <w:p>
            <w:pPr>
              <w:jc w:val="right"/>
            </w:pPr>
            <w:r>
              <w:rPr>
                <w:rFonts w:ascii="Calibri" w:hAnsi="Calibri"/>
                <w:sz w:val="18"/>
              </w:rPr>
              <w:t>293.0</w:t>
            </w:r>
          </w:p>
        </w:tc>
        <w:tc>
          <w:tcPr>
            <w:tcW w:type="dxa" w:w="1987"/>
          </w:tcPr>
          <w:p>
            <w:pPr>
              <w:jc w:val="right"/>
            </w:pPr>
            <w:r>
              <w:rPr>
                <w:rFonts w:ascii="Calibri" w:hAnsi="Calibri"/>
                <w:sz w:val="18"/>
              </w:rPr>
              <w:t>-194.7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241.1</w:t>
            </w:r>
          </w:p>
        </w:tc>
        <w:tc>
          <w:tcPr>
            <w:tcW w:type="dxa" w:w="1987"/>
          </w:tcPr>
          <w:p>
            <w:pPr>
              <w:jc w:val="right"/>
            </w:pPr>
            <w:r>
              <w:rPr>
                <w:rFonts w:ascii="Calibri" w:hAnsi="Calibri"/>
                <w:sz w:val="18"/>
              </w:rPr>
              <w:t>199.9</w:t>
            </w:r>
          </w:p>
        </w:tc>
        <w:tc>
          <w:tcPr>
            <w:tcW w:type="dxa" w:w="1987"/>
          </w:tcPr>
          <w:p>
            <w:pPr>
              <w:jc w:val="right"/>
            </w:pPr>
            <w:r>
              <w:rPr>
                <w:rFonts w:ascii="Calibri" w:hAnsi="Calibri"/>
                <w:sz w:val="18"/>
              </w:rPr>
              <w:t>-41.2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163.4</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-33.3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403.8</w:t>
            </w:r>
          </w:p>
        </w:tc>
        <w:tc>
          <w:tcPr>
            <w:tcW w:type="dxa" w:w="1987"/>
          </w:tcPr>
          <w:p>
            <w:pPr>
              <w:jc w:val="right"/>
            </w:pPr>
            <w:r>
              <w:rPr>
                <w:rFonts w:ascii="Calibri" w:hAnsi="Calibri"/>
                <w:sz w:val="18"/>
              </w:rPr>
              <w:t>433.7</w:t>
            </w:r>
          </w:p>
        </w:tc>
        <w:tc>
          <w:tcPr>
            <w:tcW w:type="dxa" w:w="1987"/>
          </w:tcPr>
          <w:p>
            <w:pPr>
              <w:jc w:val="right"/>
            </w:pPr>
            <w:r>
              <w:rPr>
                <w:rFonts w:ascii="Calibri" w:hAnsi="Calibri"/>
                <w:sz w:val="18"/>
              </w:rPr>
              <w:t>29.9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72.5</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1.6</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95.30</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95.45</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4,206.60</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4,673.63</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4,851.07</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4,851.83</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4,246.25</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4,257.17</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213.57</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256.80</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13.15</w:t>
            </w:r>
          </w:p>
        </w:tc>
        <w:tc>
          <w:tcPr>
            <w:tcW w:type="dxa" w:w="1656"/>
          </w:tcPr>
          <w:p>
            <w:r>
              <w:rPr>
                <w:rFonts w:ascii="Calibri" w:hAnsi="Calibri"/>
                <w:sz w:val="18"/>
              </w:rPr>
              <w:t>exogenous (excluded from the headline)</w:t>
            </w:r>
          </w:p>
        </w:tc>
      </w:tr>
    </w:tbl>
    <w:p>
      <w:r>
        <w:rPr>
          <w:color w:val="253331"/>
          <w:sz w:val="18"/>
        </w:rPr>
        <w:t>Note. The two EXIOBASE-family results sit at 12.90 and 13.19 t per person; the three national-accounts-family results sit between 9.77 and 11.00. This study is within 2.3 % of the only other published Danish EXIOBASE study, and about 20 % above the national-accounts family, as that family's own members are above one another. The gap against Statistics Denmark is therefore a property of the model family rather than an error in this implementation. The five estimates span a coefficient of variation of 12.8 %,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1.7 %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4.68</w:t>
            </w:r>
          </w:p>
        </w:tc>
        <w:tc>
          <w:tcPr>
            <w:tcW w:type="dxa" w:w="1987"/>
          </w:tcPr>
          <w:p>
            <w:pPr>
              <w:jc w:val="right"/>
            </w:pPr>
            <w:r>
              <w:rPr>
                <w:rFonts w:ascii="Calibri" w:hAnsi="Calibri"/>
                <w:sz w:val="18"/>
              </w:rPr>
              <w:t>0.796</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6.39</w:t>
            </w:r>
          </w:p>
        </w:tc>
        <w:tc>
          <w:tcPr>
            <w:tcW w:type="dxa" w:w="1987"/>
          </w:tcPr>
          <w:p>
            <w:pPr>
              <w:jc w:val="right"/>
            </w:pPr>
            <w:r>
              <w:rPr>
                <w:rFonts w:ascii="Calibri" w:hAnsi="Calibri"/>
                <w:sz w:val="18"/>
              </w:rPr>
              <w:t>1.088</w:t>
            </w:r>
          </w:p>
        </w:tc>
        <w:tc>
          <w:tcPr>
            <w:tcW w:type="dxa" w:w="1987"/>
          </w:tcPr>
          <w:p>
            <w:pPr>
              <w:jc w:val="right"/>
            </w:pPr>
            <w:r>
              <w:rPr>
                <w:rFonts w:ascii="Calibri" w:hAnsi="Calibri"/>
                <w:sz w:val="18"/>
              </w:rPr>
              <w:t>8.3</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revision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Revision</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IPCC SAR (1995)</w:t>
            </w:r>
          </w:p>
        </w:tc>
        <w:tc>
          <w:tcPr>
            <w:tcW w:type="dxa" w:w="4968"/>
          </w:tcPr>
          <w:p>
            <w:pPr>
              <w:jc w:val="right"/>
            </w:pPr>
            <w:r>
              <w:rPr>
                <w:rFonts w:ascii="Calibri" w:hAnsi="Calibri"/>
                <w:sz w:val="18"/>
              </w:rPr>
              <w:t>3,703.5</w:t>
            </w:r>
          </w:p>
        </w:tc>
      </w:tr>
      <w:tr>
        <w:tc>
          <w:tcPr>
            <w:tcW w:type="dxa" w:w="4968"/>
          </w:tcPr>
          <w:p>
            <w:r>
              <w:rPr>
                <w:rFonts w:ascii="Calibri" w:hAnsi="Calibri"/>
                <w:sz w:val="18"/>
              </w:rPr>
              <w:t>IPCC TAR (2001)</w:t>
            </w:r>
          </w:p>
        </w:tc>
        <w:tc>
          <w:tcPr>
            <w:tcW w:type="dxa" w:w="4968"/>
          </w:tcPr>
          <w:p>
            <w:pPr>
              <w:jc w:val="right"/>
            </w:pPr>
            <w:r>
              <w:rPr>
                <w:rFonts w:ascii="Calibri" w:hAnsi="Calibri"/>
                <w:sz w:val="18"/>
              </w:rPr>
              <w:t>3,753.7</w:t>
            </w:r>
          </w:p>
        </w:tc>
      </w:tr>
      <w:tr>
        <w:tc>
          <w:tcPr>
            <w:tcW w:type="dxa" w:w="4968"/>
          </w:tcPr>
          <w:p>
            <w:r>
              <w:rPr>
                <w:rFonts w:ascii="Calibri" w:hAnsi="Calibri"/>
                <w:sz w:val="18"/>
              </w:rPr>
              <w:t>IPCC AR4 (2007)</w:t>
            </w:r>
          </w:p>
        </w:tc>
        <w:tc>
          <w:tcPr>
            <w:tcW w:type="dxa" w:w="4968"/>
          </w:tcPr>
          <w:p>
            <w:pPr>
              <w:jc w:val="right"/>
            </w:pPr>
            <w:r>
              <w:rPr>
                <w:rFonts w:ascii="Calibri" w:hAnsi="Calibri"/>
                <w:sz w:val="18"/>
              </w:rPr>
              <w:t>3,818.4</w:t>
            </w:r>
          </w:p>
        </w:tc>
      </w:tr>
      <w:tr>
        <w:tc>
          <w:tcPr>
            <w:tcW w:type="dxa" w:w="4968"/>
          </w:tcPr>
          <w:p>
            <w:r>
              <w:rPr>
                <w:rFonts w:ascii="Calibri" w:hAnsi="Calibri"/>
                <w:sz w:val="18"/>
              </w:rPr>
              <w:t>IPCC AR5 (2013)</w:t>
            </w:r>
          </w:p>
        </w:tc>
        <w:tc>
          <w:tcPr>
            <w:tcW w:type="dxa" w:w="4968"/>
          </w:tcPr>
          <w:p>
            <w:pPr>
              <w:jc w:val="right"/>
            </w:pPr>
            <w:r>
              <w:rPr>
                <w:rFonts w:ascii="Calibri" w:hAnsi="Calibri"/>
                <w:sz w:val="18"/>
              </w:rPr>
              <w:t>3,918.1</w:t>
            </w:r>
          </w:p>
        </w:tc>
      </w:tr>
      <w:tr>
        <w:tc>
          <w:tcPr>
            <w:tcW w:type="dxa" w:w="4968"/>
          </w:tcPr>
          <w:p>
            <w:r>
              <w:rPr>
                <w:rFonts w:ascii="Calibri" w:hAnsi="Calibri"/>
                <w:sz w:val="18"/>
              </w:rPr>
              <w:t>IPCC AR6 (2021)</w:t>
            </w:r>
          </w:p>
        </w:tc>
        <w:tc>
          <w:tcPr>
            <w:tcW w:type="dxa" w:w="4968"/>
          </w:tcPr>
          <w:p>
            <w:pPr>
              <w:jc w:val="right"/>
            </w:pPr>
            <w:r>
              <w:rPr>
                <w:rFonts w:ascii="Calibri" w:hAnsi="Calibri"/>
                <w:sz w:val="18"/>
              </w:rPr>
              <w:t>3,906.4</w:t>
            </w:r>
          </w:p>
        </w:tc>
      </w:tr>
    </w:tbl>
    <w:p>
      <w:r>
        <w:rPr>
          <w:color w:val="253331"/>
          <w:sz w:val="18"/>
        </w:rPr>
        <w:t>Note. The study reports AR6 throughout. The spread across four IPCC assessment revisions is a reminder that a climate footprint is not a measurement but a measurement combined with a convention, and that the convention must be stated with the number. The environment variable HC_GWP_REVISION reproduces any row.</w:t>
      </w:r>
    </w:p>
    <w:p>
      <w:r>
        <w:rPr>
          <w:color w:val="6B7F7B"/>
          <w:sz w:val="17"/>
        </w:rPr>
        <w:t>Source. 15_gwp_revision/gwp_revision_sensitivity.csv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102.3</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4,025.0</w:t>
            </w:r>
          </w:p>
        </w:tc>
        <w:tc>
          <w:tcPr>
            <w:tcW w:type="dxa" w:w="1656"/>
          </w:tcPr>
          <w:p>
            <w:pPr>
              <w:jc w:val="right"/>
            </w:pPr>
            <w:r>
              <w:rPr>
                <w:rFonts w:ascii="Calibri" w:hAnsi="Calibri"/>
                <w:sz w:val="18"/>
              </w:rPr>
              <w:t>4,559.7</w:t>
            </w:r>
          </w:p>
        </w:tc>
        <w:tc>
          <w:tcPr>
            <w:tcW w:type="dxa" w:w="1656"/>
          </w:tcPr>
          <w:p>
            <w:pPr>
              <w:jc w:val="right"/>
            </w:pPr>
            <w:r>
              <w:rPr>
                <w:rFonts w:ascii="Calibri" w:hAnsi="Calibri"/>
                <w:sz w:val="18"/>
              </w:rPr>
              <w:t>4,874.7</w:t>
            </w:r>
          </w:p>
        </w:tc>
        <w:tc>
          <w:tcPr>
            <w:tcW w:type="dxa" w:w="1656"/>
          </w:tcPr>
          <w:p>
            <w:pPr>
              <w:jc w:val="right"/>
            </w:pPr>
            <w:r>
              <w:rPr>
                <w:rFonts w:ascii="Calibri" w:hAnsi="Calibri"/>
                <w:sz w:val="18"/>
              </w:rPr>
              <w:t>21.1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4,850.2</w:t>
            </w:r>
          </w:p>
        </w:tc>
        <w:tc>
          <w:tcPr>
            <w:tcW w:type="dxa" w:w="1656"/>
          </w:tcPr>
          <w:p>
            <w:pPr>
              <w:jc w:val="right"/>
            </w:pPr>
            <w:r>
              <w:rPr>
                <w:rFonts w:ascii="Calibri" w:hAnsi="Calibri"/>
                <w:sz w:val="18"/>
              </w:rPr>
              <w:t>5,358.3</w:t>
            </w:r>
          </w:p>
        </w:tc>
        <w:tc>
          <w:tcPr>
            <w:tcW w:type="dxa" w:w="1656"/>
          </w:tcPr>
          <w:p>
            <w:pPr>
              <w:jc w:val="right"/>
            </w:pPr>
            <w:r>
              <w:rPr>
                <w:rFonts w:ascii="Calibri" w:hAnsi="Calibri"/>
                <w:sz w:val="18"/>
              </w:rPr>
              <w:t>5,761.9</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4,231.5</w:t>
            </w:r>
          </w:p>
        </w:tc>
        <w:tc>
          <w:tcPr>
            <w:tcW w:type="dxa" w:w="1656"/>
          </w:tcPr>
          <w:p>
            <w:pPr>
              <w:jc w:val="right"/>
            </w:pPr>
            <w:r>
              <w:rPr>
                <w:rFonts w:ascii="Calibri" w:hAnsi="Calibri"/>
                <w:sz w:val="18"/>
              </w:rPr>
              <w:t>5,025.4</w:t>
            </w:r>
          </w:p>
        </w:tc>
        <w:tc>
          <w:tcPr>
            <w:tcW w:type="dxa" w:w="1656"/>
          </w:tcPr>
          <w:p>
            <w:pPr>
              <w:jc w:val="right"/>
            </w:pPr>
            <w:r>
              <w:rPr>
                <w:rFonts w:ascii="Calibri" w:hAnsi="Calibri"/>
                <w:sz w:val="18"/>
              </w:rPr>
              <w:t>5,542.3</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283.0</w:t>
            </w:r>
          </w:p>
        </w:tc>
        <w:tc>
          <w:tcPr>
            <w:tcW w:type="dxa" w:w="1656"/>
          </w:tcPr>
          <w:p>
            <w:pPr>
              <w:jc w:val="right"/>
            </w:pPr>
            <w:r>
              <w:rPr>
                <w:rFonts w:ascii="Calibri" w:hAnsi="Calibri"/>
                <w:sz w:val="18"/>
              </w:rPr>
              <w:t>300.8</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4,675.5</w:t>
            </w:r>
          </w:p>
        </w:tc>
        <w:tc>
          <w:tcPr>
            <w:tcW w:type="dxa" w:w="1419"/>
          </w:tcPr>
          <w:p>
            <w:pPr>
              <w:jc w:val="right"/>
            </w:pPr>
            <w:r>
              <w:rPr>
                <w:rFonts w:ascii="Calibri" w:hAnsi="Calibri"/>
                <w:sz w:val="18"/>
              </w:rPr>
              <w:t>4,696.5</w:t>
            </w:r>
          </w:p>
        </w:tc>
        <w:tc>
          <w:tcPr>
            <w:tcW w:type="dxa" w:w="1419"/>
          </w:tcPr>
          <w:p>
            <w:pPr>
              <w:jc w:val="right"/>
            </w:pPr>
            <w:r>
              <w:rPr>
                <w:rFonts w:ascii="Calibri" w:hAnsi="Calibri"/>
                <w:sz w:val="18"/>
              </w:rPr>
              <w:t>4,031.6</w:t>
            </w:r>
          </w:p>
        </w:tc>
        <w:tc>
          <w:tcPr>
            <w:tcW w:type="dxa" w:w="1419"/>
          </w:tcPr>
          <w:p>
            <w:pPr>
              <w:jc w:val="right"/>
            </w:pPr>
            <w:r>
              <w:rPr>
                <w:rFonts w:ascii="Calibri" w:hAnsi="Calibri"/>
                <w:sz w:val="18"/>
              </w:rPr>
              <w:t>5,488.3</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7.84</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4,257.2</w:t>
            </w:r>
          </w:p>
        </w:tc>
        <w:tc>
          <w:tcPr>
            <w:tcW w:type="dxa" w:w="1419"/>
          </w:tcPr>
          <w:p>
            <w:pPr>
              <w:jc w:val="right"/>
            </w:pPr>
            <w:r>
              <w:rPr>
                <w:rFonts w:ascii="Calibri" w:hAnsi="Calibri"/>
                <w:sz w:val="18"/>
              </w:rPr>
              <w:t>4,254.9</w:t>
            </w:r>
          </w:p>
        </w:tc>
        <w:tc>
          <w:tcPr>
            <w:tcW w:type="dxa" w:w="1419"/>
          </w:tcPr>
          <w:p>
            <w:pPr>
              <w:jc w:val="right"/>
            </w:pPr>
            <w:r>
              <w:rPr>
                <w:rFonts w:ascii="Calibri" w:hAnsi="Calibri"/>
                <w:sz w:val="18"/>
              </w:rPr>
              <w:t>3,617.3</w:t>
            </w:r>
          </w:p>
        </w:tc>
        <w:tc>
          <w:tcPr>
            <w:tcW w:type="dxa" w:w="1419"/>
          </w:tcPr>
          <w:p>
            <w:pPr>
              <w:jc w:val="right"/>
            </w:pPr>
            <w:r>
              <w:rPr>
                <w:rFonts w:ascii="Calibri" w:hAnsi="Calibri"/>
                <w:sz w:val="18"/>
              </w:rPr>
              <w:t>5,013.0</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8.30</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81.0</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8.33</w:t>
            </w:r>
          </w:p>
        </w:tc>
      </w:tr>
      <w:tr>
        <w:tc>
          <w:tcPr>
            <w:tcW w:type="dxa" w:w="1419"/>
          </w:tcPr>
          <w:p>
            <w:r>
              <w:rPr>
                <w:rFonts w:ascii="Calibri" w:hAnsi="Calibri"/>
                <w:sz w:val="18"/>
              </w:rPr>
              <w:t>Land use (km2)</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4,848.2</w:t>
            </w:r>
          </w:p>
        </w:tc>
        <w:tc>
          <w:tcPr>
            <w:tcW w:type="dxa" w:w="1419"/>
          </w:tcPr>
          <w:p>
            <w:pPr>
              <w:jc w:val="right"/>
            </w:pPr>
            <w:r>
              <w:rPr>
                <w:rFonts w:ascii="Calibri" w:hAnsi="Calibri"/>
                <w:sz w:val="18"/>
              </w:rPr>
              <w:t>4,118.2</w:t>
            </w:r>
          </w:p>
        </w:tc>
        <w:tc>
          <w:tcPr>
            <w:tcW w:type="dxa" w:w="1419"/>
          </w:tcPr>
          <w:p>
            <w:pPr>
              <w:jc w:val="right"/>
            </w:pPr>
            <w:r>
              <w:rPr>
                <w:rFonts w:ascii="Calibri" w:hAnsi="Calibri"/>
                <w:sz w:val="18"/>
              </w:rPr>
              <w:t>5,717.2</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8.35</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259.3</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225.6</w:t>
            </w:r>
          </w:p>
        </w:tc>
        <w:tc>
          <w:tcPr>
            <w:tcW w:type="dxa" w:w="1419"/>
          </w:tcPr>
          <w:p>
            <w:pPr>
              <w:jc w:val="right"/>
            </w:pPr>
            <w:r>
              <w:rPr>
                <w:rFonts w:ascii="Calibri" w:hAnsi="Calibri"/>
                <w:sz w:val="18"/>
              </w:rPr>
              <w:t>299.0</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7.15</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78.4</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9.43</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6.83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5.20</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0.0948</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0.00748</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0.00198</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90.7 % and would not be a decomposition. The input-output share is stable between 78.6 % and 78.9 % across every correlation assumption tested,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4,675.5</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-2,337.7</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-360.8</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-361.0</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15.4</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-460.4</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19.7</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-281.5</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79.3</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841.6</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381.2</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19.7 %, which this table states as a row of its own, and the interventions alone reach 15.4 %. A caption of 27 % also circulates: that is the B1G variant, which applies the Danish grid trajectory to every region's grid and is reported as an upper bound rather than an evidenced pathway.</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-9.85</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-2.58</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B1G  KF22 to 2035</w:t>
            </w:r>
          </w:p>
        </w:tc>
        <w:tc>
          <w:tcPr>
            <w:tcW w:type="dxa" w:w="1656"/>
          </w:tcPr>
          <w:p>
            <w:pPr>
              <w:jc w:val="right"/>
            </w:pPr>
            <w:r>
              <w:rPr>
                <w:rFonts w:ascii="Calibri" w:hAnsi="Calibri"/>
                <w:sz w:val="18"/>
              </w:rPr>
              <w:t>-6.86</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B1G  KF22 to 2030</w:t>
            </w:r>
          </w:p>
        </w:tc>
        <w:tc>
          <w:tcPr>
            <w:tcW w:type="dxa" w:w="1656"/>
          </w:tcPr>
          <w:p>
            <w:pPr>
              <w:jc w:val="right"/>
            </w:pPr>
            <w:r>
              <w:rPr>
                <w:rFonts w:ascii="Calibri" w:hAnsi="Calibri"/>
                <w:sz w:val="18"/>
              </w:rPr>
              <w:t>-6.77</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B1G  KF25 to 2035</w:t>
            </w:r>
          </w:p>
        </w:tc>
        <w:tc>
          <w:tcPr>
            <w:tcW w:type="dxa" w:w="1656"/>
          </w:tcPr>
          <w:p>
            <w:pPr>
              <w:jc w:val="right"/>
            </w:pPr>
            <w:r>
              <w:rPr>
                <w:rFonts w:ascii="Calibri" w:hAnsi="Calibri"/>
                <w:sz w:val="18"/>
              </w:rPr>
              <w:t>-6.04</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-6.02</w:t>
            </w:r>
          </w:p>
        </w:tc>
        <w:tc>
          <w:tcPr>
            <w:tcW w:type="dxa" w:w="1656"/>
          </w:tcPr>
          <w:p>
            <w:pPr>
              <w:jc w:val="right"/>
            </w:pPr>
            <w:r>
              <w:rPr>
                <w:rFonts w:ascii="Calibri" w:hAnsi="Calibri"/>
                <w:sz w:val="18"/>
              </w:rPr>
              <w:t>-2.52</w:t>
            </w:r>
          </w:p>
        </w:tc>
        <w:tc>
          <w:tcPr>
            <w:tcW w:type="dxa" w:w="1656"/>
          </w:tcPr>
          <w:p>
            <w:pPr>
              <w:jc w:val="right"/>
            </w:pPr>
            <w:r>
              <w:rPr>
                <w:rFonts w:ascii="Calibri" w:hAnsi="Calibri"/>
                <w:sz w:val="18"/>
              </w:rPr>
              <w:t>0.76</w:t>
            </w:r>
          </w:p>
        </w:tc>
        <w:tc>
          <w:tcPr>
            <w:tcW w:type="dxa" w:w="1656"/>
          </w:tcPr>
          <w:p>
            <w:pPr>
              <w:jc w:val="right"/>
            </w:pPr>
            <w:r>
              <w:rPr>
                <w:rFonts w:ascii="Calibri" w:hAnsi="Calibri"/>
                <w:sz w:val="18"/>
              </w:rPr>
              <w:t>0.71</w:t>
            </w:r>
          </w:p>
        </w:tc>
        <w:tc>
          <w:tcPr>
            <w:tcW w:type="dxa" w:w="1656"/>
          </w:tcPr>
          <w:p>
            <w:pPr>
              <w:jc w:val="right"/>
            </w:pPr>
            <w:r>
              <w:rPr>
                <w:rFonts w:ascii="Calibri" w:hAnsi="Calibri"/>
                <w:sz w:val="18"/>
              </w:rPr>
              <w:t>0.37</w:t>
            </w:r>
          </w:p>
        </w:tc>
      </w:tr>
      <w:tr>
        <w:tc>
          <w:tcPr>
            <w:tcW w:type="dxa" w:w="1656"/>
          </w:tcPr>
          <w:p>
            <w:r>
              <w:rPr>
                <w:rFonts w:ascii="Calibri" w:hAnsi="Calibri"/>
                <w:sz w:val="18"/>
              </w:rPr>
              <w:t>B1G  KF25 to 2030</w:t>
            </w:r>
          </w:p>
        </w:tc>
        <w:tc>
          <w:tcPr>
            <w:tcW w:type="dxa" w:w="1656"/>
          </w:tcPr>
          <w:p>
            <w:pPr>
              <w:jc w:val="right"/>
            </w:pPr>
            <w:r>
              <w:rPr>
                <w:rFonts w:ascii="Calibri" w:hAnsi="Calibri"/>
                <w:sz w:val="18"/>
              </w:rPr>
              <w:t>-5.78</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-4.03</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KF22 to 2035</w:t>
            </w:r>
          </w:p>
        </w:tc>
        <w:tc>
          <w:tcPr>
            <w:tcW w:type="dxa" w:w="1656"/>
          </w:tcPr>
          <w:p>
            <w:pPr>
              <w:jc w:val="right"/>
            </w:pPr>
            <w:r>
              <w:rPr>
                <w:rFonts w:ascii="Calibri" w:hAnsi="Calibri"/>
                <w:sz w:val="18"/>
              </w:rPr>
              <w:t>-3.11</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-1.30</w:t>
            </w:r>
          </w:p>
        </w:tc>
      </w:tr>
      <w:tr>
        <w:tc>
          <w:tcPr>
            <w:tcW w:type="dxa" w:w="1656"/>
          </w:tcPr>
          <w:p>
            <w:r>
              <w:rPr>
                <w:rFonts w:ascii="Calibri" w:hAnsi="Calibri"/>
                <w:sz w:val="18"/>
              </w:rPr>
              <w:t>B1  KF22 to 2030</w:t>
            </w:r>
          </w:p>
        </w:tc>
        <w:tc>
          <w:tcPr>
            <w:tcW w:type="dxa" w:w="1656"/>
          </w:tcPr>
          <w:p>
            <w:pPr>
              <w:jc w:val="right"/>
            </w:pPr>
            <w:r>
              <w:rPr>
                <w:rFonts w:ascii="Calibri" w:hAnsi="Calibri"/>
                <w:sz w:val="18"/>
              </w:rPr>
              <w:t>-3.07</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-1.28</w:t>
            </w:r>
          </w:p>
        </w:tc>
      </w:tr>
      <w:tr>
        <w:tc>
          <w:tcPr>
            <w:tcW w:type="dxa" w:w="1656"/>
          </w:tcPr>
          <w:p>
            <w:r>
              <w:rPr>
                <w:rFonts w:ascii="Calibri" w:hAnsi="Calibri"/>
                <w:sz w:val="18"/>
              </w:rPr>
              <w:t>B1  KF25 to 2035</w:t>
            </w:r>
          </w:p>
        </w:tc>
        <w:tc>
          <w:tcPr>
            <w:tcW w:type="dxa" w:w="1656"/>
          </w:tcPr>
          <w:p>
            <w:pPr>
              <w:jc w:val="right"/>
            </w:pPr>
            <w:r>
              <w:rPr>
                <w:rFonts w:ascii="Calibri" w:hAnsi="Calibri"/>
                <w:sz w:val="18"/>
              </w:rPr>
              <w:t>-2.74</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-1.14</w:t>
            </w:r>
          </w:p>
        </w:tc>
      </w:tr>
      <w:tr>
        <w:tc>
          <w:tcPr>
            <w:tcW w:type="dxa" w:w="1656"/>
          </w:tcPr>
          <w:p>
            <w:r>
              <w:rPr>
                <w:rFonts w:ascii="Calibri" w:hAnsi="Calibri"/>
                <w:sz w:val="18"/>
              </w:rPr>
              <w:t>P5  -20%</w:t>
            </w:r>
          </w:p>
        </w:tc>
        <w:tc>
          <w:tcPr>
            <w:tcW w:type="dxa" w:w="1656"/>
          </w:tcPr>
          <w:p>
            <w:pPr>
              <w:jc w:val="right"/>
            </w:pPr>
            <w:r>
              <w:rPr>
                <w:rFonts w:ascii="Calibri" w:hAnsi="Calibri"/>
                <w:sz w:val="18"/>
              </w:rPr>
              <w:t>-2.68</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KF25 to 2030</w:t>
            </w:r>
          </w:p>
        </w:tc>
        <w:tc>
          <w:tcPr>
            <w:tcW w:type="dxa" w:w="1656"/>
          </w:tcPr>
          <w:p>
            <w:pPr>
              <w:jc w:val="right"/>
            </w:pPr>
            <w:r>
              <w:rPr>
                <w:rFonts w:ascii="Calibri" w:hAnsi="Calibri"/>
                <w:sz w:val="18"/>
              </w:rPr>
              <w:t>-2.62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-1.09</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-1.62</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-1.34</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-1.14</w:t>
            </w:r>
          </w:p>
        </w:tc>
        <w:tc>
          <w:tcPr>
            <w:tcW w:type="dxa" w:w="1656"/>
          </w:tcPr>
          <w:p>
            <w:pPr>
              <w:jc w:val="right"/>
            </w:pPr>
            <w:r>
              <w:rPr>
                <w:rFonts w:ascii="Calibri" w:hAnsi="Calibri"/>
                <w:sz w:val="18"/>
              </w:rPr>
              <w:t>-0.52</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-0.81</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-0.57</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09_exiobase_release_diagnostics/dk_block_vs_national_accounts.csv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 full MRIO Monte Carlo (Eora Q, T, y). Applied jointly to all MRIO components.</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no Danish source; Dutch base is itself a transplanted English per-capita figure</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