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and Albert Kwame Osei-Owusu</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at the annual average rate of Danmarks Nationalbank for the reference year: 7.4452 DKK/EUR for 2016, 7.4661 for 2019 and 7.4396 for 2022.</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Integration of </w:t>
      </w:r>
      <w:del w:id="6509" w:author="Albert Kwame Osei-Owusu" w:date="2026-09-12T09:00:00Z">
        <w:r>
          <w:rPr>
            <w:lang w:val="en-GB"/>
          </w:rPr>
          <w:delText xml:space="preserve">Danish Supply–Use Tables</w:delText>
        </w:r>
      </w:del>
      <w:ins w:id="6510" w:author="Albert Kwame Osei-Owusu" w:date="2026-09-12T09:00:00Z">
        <w:r>
          <w:rPr>
            <w:lang w:val="en-GB"/>
          </w:rPr>
          <w:t xml:space="preserve">Danish input-output tables</w:t>
        </w:r>
      </w:ins>
      <w:r>
        <w:rPr>
          <w:lang w:val="en-GB"/>
        </w:rPr>
        <w:t xml:space="preserve"> with EXIOBASE in five steps: (</w:t>
      </w:r>
      <w:proofErr w:type="spellStart"/>
      <w:r>
        <w:rPr>
          <w:lang w:val="en-GB"/>
        </w:rPr>
        <w:t>i</w:t>
      </w:r>
      <w:proofErr w:type="spellEnd"/>
      <w:r>
        <w:rPr>
          <w:lang w:val="en-GB"/>
        </w:rPr>
        <w:t xml:space="preserve">) summarising Danish </w:t>
      </w:r>
      <w:del w:id="4451" w:author="Albert Kwame Osei-Owusu" w:date="2026-09-12T09:00:00Z">
        <w:r>
          <w:rPr>
            <w:lang w:val="en-GB"/>
          </w:rPr>
          <w:delText xml:space="preserve">healthcare</w:delText>
        </w:r>
      </w:del>
      <w:ins w:id="4452" w:author="Albert Kwame Osei-Owusu" w:date="2026-09-12T09:00:00Z">
        <w:r>
          <w:rPr>
            <w:lang w:val="en-GB"/>
          </w:rPr>
          <w:t xml:space="preserve">health care</w:t>
        </w:r>
      </w:ins>
      <w:r>
        <w:rPr>
          <w:lang w:val="en-GB"/>
        </w:rPr>
        <w:t xml:space="preserve"> expenditures, (ii) aggregating them into SHA-based categories, (iii) mapping these to corresponding EXIOBASE sectors, </w:t>
      </w:r>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(iv) combining them with environmental extensions in the edited code base of Steenmeijer and colleagues</w:t>
        </w:r>
      </w:ins>
      <w:r>
        <w:rPr>
          <w:lang w:val="en-GB"/>
        </w:rPr>
        <w:t xml:space="preserve">, and (v) aggregating outputs into </w:t>
      </w:r>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sectoral, geographical and contribution analyses</w:t>
        </w:r>
      </w:ins>
      <w:r>
        <w:rPr>
          <w:lang w:val="en-GB"/>
        </w:rPr>
        <w:t xml:space="preserve">, as well as a scope-based </w:t>
      </w:r>
      <w:del w:id="99719" w:author="Albert Kwame Osei-Owusu" w:date="2026-09-14T09:00:00Z">
        <w:r>
          <w:rPr>
            <w:lang w:val="en-GB"/>
          </w:rPr>
          <w:delText xml:space="preserve">summary. </w:delText>
        </w:r>
      </w:del>
      <w:ins w:id="99720" w:author="Albert Kwame Osei-Owusu" w:date="2026-09-14T09:00:00Z">
        <w:r>
          <w:rPr>
            <w:lang w:val="en-GB"/>
          </w:rPr>
          <w:t xml:space="preserve">summary.</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sensitivity cases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 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3413261"/>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413261"/>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seven sector groups plus an eighth aggregated group, ‘Other’.</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fuel supply and vehicle manufacture,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consumption-based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consumption-based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r>
              <w:rPr/>
              <w:t>consumption</w:t>
            </w:r>
            <w:proofErr w:type="spellEnd"/>
            <w:r>
              <w:rPr/>
              <w:t xml:space="preserve"> </w:t>
            </w:r>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r>
              <w:rPr/>
              <w:t>consumption</w:t>
            </w:r>
            <w:proofErr w:type="spellEnd"/>
            <w:r>
              <w:rPr/>
              <w:t xml:space="preserve"> </w:t>
            </w:r>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056" w:author="Albert Kwame Osei-Owusu" w:date="2026-09-12T09:00:00Z">
              <w:r>
                <w:t xml:space="preserve">77,240.62</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044" w:author="Albert Kwame Osei-Owusu" w:date="2026-09-12T09:00:00Z">
              <w:r>
                <w:t xml:space="preserve">53,925.07</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032" w:author="Albert Kwame Osei-Owusu" w:date="2026-09-12T09:00:00Z">
              <w:r>
                <w:t xml:space="preserve">1,276.05</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020" w:author="Albert Kwame Osei-Owusu" w:date="2026-09-12T09:00:00Z">
              <w:r>
                <w:t xml:space="preserve">99,442.88</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008" w:author="Albert Kwame Osei-Owusu" w:date="2026-09-12T09:00:00Z">
              <w:r>
                <w:t xml:space="preserve">10,586.42</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consumption-based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34132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34132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34132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34132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in 2022. Per-person values are the form most readily compared with other national studies, which more often than not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349584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349584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is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382309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382309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consumption-based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382309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382309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3630413"/>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3630413"/>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consumption-based climate footprint computed in this study, 77.2 Mt CO₂e for 2022, is higher than Eurostat FIGARO's 57.4 Mt [32], Statistics Denmark's AFTRYK 62.9 Mt [33],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[34]</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997430"/>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997430"/>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706875"/>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706875"/>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829092"/>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829092"/>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First-order variance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2746513"/>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2746513"/>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4067775"/>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4067775"/>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468313"/>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468313"/>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Pharmaceuticals and chemical products hold rank one in 96.6% of draws under the chemicals mapping.</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