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2026-09-14</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74.8</w:t>
            </w:r>
          </w:p>
        </w:tc>
        <w:tc>
          <w:tcPr>
            <w:tcW w:type="dxa" w:w="1656"/>
          </w:tcPr>
          <w:p>
            <w:pPr>
              <w:jc w:val="right"/>
            </w:pPr>
            <w:r>
              <w:rPr>
                <w:rFonts w:ascii="Calibri" w:hAnsi="Calibri"/>
                <w:sz w:val="18"/>
              </w:rPr>
              <w:t>12.7</w:t>
            </w:r>
          </w:p>
        </w:tc>
        <w:tc>
          <w:tcPr>
            <w:tcW w:type="dxa" w:w="1656"/>
          </w:tcPr>
          <w:p>
            <w:pPr>
              <w:jc w:val="right"/>
            </w:pPr>
            <w:r>
              <w:rPr>
                <w:rFonts w:ascii="Calibri" w:hAnsi="Calibri"/>
                <w:sz w:val="18"/>
              </w:rPr>
              <w:t>1,276.1</w:t>
            </w:r>
          </w:p>
        </w:tc>
        <w:tc>
          <w:tcPr>
            <w:tcW w:type="dxa" w:w="1656"/>
          </w:tcPr>
          <w:p>
            <w:pPr>
              <w:jc w:val="right"/>
            </w:pPr>
            <w:r>
              <w:rPr>
                <w:rFonts w:ascii="Calibri" w:hAnsi="Calibri"/>
                <w:sz w:val="18"/>
              </w:rPr>
              <w:t>5.9</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4,266.9</w:t>
            </w:r>
          </w:p>
        </w:tc>
        <w:tc>
          <w:tcPr>
            <w:tcW w:type="dxa" w:w="1656"/>
          </w:tcPr>
          <w:p>
            <w:pPr>
              <w:jc w:val="right"/>
            </w:pPr>
            <w:r>
              <w:rPr>
                <w:rFonts w:ascii="Calibri" w:hAnsi="Calibri"/>
                <w:sz w:val="18"/>
              </w:rPr>
              <w:t>726.5</w:t>
            </w:r>
          </w:p>
        </w:tc>
        <w:tc>
          <w:tcPr>
            <w:tcW w:type="dxa" w:w="1656"/>
          </w:tcPr>
          <w:p>
            <w:pPr>
              <w:jc w:val="right"/>
            </w:pPr>
            <w:r>
              <w:rPr>
                <w:rFonts w:ascii="Calibri" w:hAnsi="Calibri"/>
                <w:sz w:val="18"/>
              </w:rPr>
              <w:t>77,240.6</w:t>
            </w:r>
          </w:p>
        </w:tc>
        <w:tc>
          <w:tcPr>
            <w:tcW w:type="dxa" w:w="1656"/>
          </w:tcPr>
          <w:p>
            <w:pPr>
              <w:jc w:val="right"/>
            </w:pPr>
            <w:r>
              <w:rPr>
                <w:rFonts w:ascii="Calibri" w:hAnsi="Calibri"/>
                <w:sz w:val="18"/>
              </w:rPr>
              <w:t>5.5</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4,117.7</w:t>
            </w:r>
          </w:p>
        </w:tc>
        <w:tc>
          <w:tcPr>
            <w:tcW w:type="dxa" w:w="1656"/>
          </w:tcPr>
          <w:p>
            <w:pPr>
              <w:jc w:val="right"/>
            </w:pPr>
            <w:r>
              <w:rPr>
                <w:rFonts w:ascii="Calibri" w:hAnsi="Calibri"/>
                <w:sz w:val="18"/>
              </w:rPr>
              <w:t>701.1</w:t>
            </w:r>
          </w:p>
        </w:tc>
        <w:tc>
          <w:tcPr>
            <w:tcW w:type="dxa" w:w="1656"/>
          </w:tcPr>
          <w:p>
            <w:pPr>
              <w:jc w:val="right"/>
            </w:pPr>
            <w:r>
              <w:rPr>
                <w:rFonts w:ascii="Calibri" w:hAnsi="Calibri"/>
                <w:sz w:val="18"/>
              </w:rPr>
              <w:t>99,442.9</w:t>
            </w:r>
          </w:p>
        </w:tc>
        <w:tc>
          <w:tcPr>
            <w:tcW w:type="dxa" w:w="1656"/>
          </w:tcPr>
          <w:p>
            <w:pPr>
              <w:jc w:val="right"/>
            </w:pPr>
            <w:r>
              <w:rPr>
                <w:rFonts w:ascii="Calibri" w:hAnsi="Calibri"/>
                <w:sz w:val="18"/>
              </w:rPr>
              <w:t>4.1</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3,498.3</w:t>
            </w:r>
          </w:p>
        </w:tc>
        <w:tc>
          <w:tcPr>
            <w:tcW w:type="dxa" w:w="1656"/>
          </w:tcPr>
          <w:p>
            <w:pPr>
              <w:jc w:val="right"/>
            </w:pPr>
            <w:r>
              <w:rPr>
                <w:rFonts w:ascii="Calibri" w:hAnsi="Calibri"/>
                <w:sz w:val="18"/>
              </w:rPr>
              <w:t>595.6</w:t>
            </w:r>
          </w:p>
        </w:tc>
        <w:tc>
          <w:tcPr>
            <w:tcW w:type="dxa" w:w="1656"/>
          </w:tcPr>
          <w:p>
            <w:pPr>
              <w:jc w:val="right"/>
            </w:pPr>
            <w:r>
              <w:rPr>
                <w:rFonts w:ascii="Calibri" w:hAnsi="Calibri"/>
                <w:sz w:val="18"/>
              </w:rPr>
              <w:t>53,925.1</w:t>
            </w:r>
          </w:p>
        </w:tc>
        <w:tc>
          <w:tcPr>
            <w:tcW w:type="dxa" w:w="1656"/>
          </w:tcPr>
          <w:p>
            <w:pPr>
              <w:jc w:val="right"/>
            </w:pPr>
            <w:r>
              <w:rPr>
                <w:rFonts w:ascii="Calibri" w:hAnsi="Calibri"/>
                <w:sz w:val="18"/>
              </w:rPr>
              <w:t>6.5</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221.1</w:t>
            </w:r>
          </w:p>
        </w:tc>
        <w:tc>
          <w:tcPr>
            <w:tcW w:type="dxa" w:w="1656"/>
          </w:tcPr>
          <w:p>
            <w:pPr>
              <w:jc w:val="right"/>
            </w:pPr>
            <w:r>
              <w:rPr>
                <w:rFonts w:ascii="Calibri" w:hAnsi="Calibri"/>
                <w:sz w:val="18"/>
              </w:rPr>
              <w:t>37.6</w:t>
            </w:r>
          </w:p>
        </w:tc>
        <w:tc>
          <w:tcPr>
            <w:tcW w:type="dxa" w:w="1656"/>
          </w:tcPr>
          <w:p>
            <w:pPr>
              <w:jc w:val="right"/>
            </w:pPr>
            <w:r>
              <w:rPr>
                <w:rFonts w:ascii="Calibri" w:hAnsi="Calibri"/>
                <w:sz w:val="18"/>
              </w:rPr>
              <w:t>10,586.4</w:t>
            </w:r>
          </w:p>
        </w:tc>
        <w:tc>
          <w:tcPr>
            <w:tcW w:type="dxa" w:w="1656"/>
          </w:tcPr>
          <w:p>
            <w:pPr>
              <w:jc w:val="right"/>
            </w:pPr>
            <w:r>
              <w:rPr>
                <w:rFonts w:ascii="Calibri" w:hAnsi="Calibri"/>
                <w:sz w:val="18"/>
              </w:rPr>
              <w:t>2.1</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01_eriksen_replication/2022c/figure1_activity_contributions.csv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50.3</w:t>
            </w:r>
          </w:p>
        </w:tc>
        <w:tc>
          <w:tcPr>
            <w:tcW w:type="dxa" w:w="1987"/>
          </w:tcPr>
          <w:p>
            <w:pPr>
              <w:jc w:val="right"/>
            </w:pPr>
            <w:r>
              <w:rPr>
                <w:rFonts w:ascii="Calibri" w:hAnsi="Calibri"/>
                <w:sz w:val="18"/>
              </w:rPr>
              <w:t>74.8</w:t>
            </w:r>
          </w:p>
        </w:tc>
        <w:tc>
          <w:tcPr>
            <w:tcW w:type="dxa" w:w="1987"/>
          </w:tcPr>
          <w:p>
            <w:pPr>
              <w:jc w:val="right"/>
            </w:pPr>
            <w:r>
              <w:rPr>
                <w:rFonts w:ascii="Calibri" w:hAnsi="Calibri"/>
                <w:sz w:val="18"/>
              </w:rPr>
              <w:t>48.8</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6,309.9</w:t>
            </w:r>
          </w:p>
        </w:tc>
        <w:tc>
          <w:tcPr>
            <w:tcW w:type="dxa" w:w="1987"/>
          </w:tcPr>
          <w:p>
            <w:pPr>
              <w:jc w:val="right"/>
            </w:pPr>
            <w:r>
              <w:rPr>
                <w:rFonts w:ascii="Calibri" w:hAnsi="Calibri"/>
                <w:sz w:val="18"/>
              </w:rPr>
              <w:t>4,266.9</w:t>
            </w:r>
          </w:p>
        </w:tc>
        <w:tc>
          <w:tcPr>
            <w:tcW w:type="dxa" w:w="1987"/>
          </w:tcPr>
          <w:p>
            <w:pPr>
              <w:jc w:val="right"/>
            </w:pPr>
            <w:r>
              <w:rPr>
                <w:rFonts w:ascii="Calibri" w:hAnsi="Calibri"/>
                <w:sz w:val="18"/>
              </w:rPr>
              <w:t>-32.4</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3,202.0</w:t>
            </w:r>
          </w:p>
        </w:tc>
        <w:tc>
          <w:tcPr>
            <w:tcW w:type="dxa" w:w="1987"/>
          </w:tcPr>
          <w:p>
            <w:pPr>
              <w:jc w:val="right"/>
            </w:pPr>
            <w:r>
              <w:rPr>
                <w:rFonts w:ascii="Calibri" w:hAnsi="Calibri"/>
                <w:sz w:val="18"/>
              </w:rPr>
              <w:t>4,117.7</w:t>
            </w:r>
          </w:p>
        </w:tc>
        <w:tc>
          <w:tcPr>
            <w:tcW w:type="dxa" w:w="1987"/>
          </w:tcPr>
          <w:p>
            <w:pPr>
              <w:jc w:val="right"/>
            </w:pPr>
            <w:r>
              <w:rPr>
                <w:rFonts w:ascii="Calibri" w:hAnsi="Calibri"/>
                <w:sz w:val="18"/>
              </w:rPr>
              <w:t>28.6</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2,657.2</w:t>
            </w:r>
          </w:p>
        </w:tc>
        <w:tc>
          <w:tcPr>
            <w:tcW w:type="dxa" w:w="1987"/>
          </w:tcPr>
          <w:p>
            <w:pPr>
              <w:jc w:val="right"/>
            </w:pPr>
            <w:r>
              <w:rPr>
                <w:rFonts w:ascii="Calibri" w:hAnsi="Calibri"/>
                <w:sz w:val="18"/>
              </w:rPr>
              <w:t>3,498.3</w:t>
            </w:r>
          </w:p>
        </w:tc>
        <w:tc>
          <w:tcPr>
            <w:tcW w:type="dxa" w:w="1987"/>
          </w:tcPr>
          <w:p>
            <w:pPr>
              <w:jc w:val="right"/>
            </w:pPr>
            <w:r>
              <w:rPr>
                <w:rFonts w:ascii="Calibri" w:hAnsi="Calibri"/>
                <w:sz w:val="18"/>
              </w:rPr>
              <w:t>31.7</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240.4</w:t>
            </w:r>
          </w:p>
        </w:tc>
        <w:tc>
          <w:tcPr>
            <w:tcW w:type="dxa" w:w="1987"/>
          </w:tcPr>
          <w:p>
            <w:pPr>
              <w:jc w:val="right"/>
            </w:pPr>
            <w:r>
              <w:rPr>
                <w:rFonts w:ascii="Calibri" w:hAnsi="Calibri"/>
                <w:sz w:val="18"/>
              </w:rPr>
              <w:t>221.1</w:t>
            </w:r>
          </w:p>
        </w:tc>
        <w:tc>
          <w:tcPr>
            <w:tcW w:type="dxa" w:w="1987"/>
          </w:tcPr>
          <w:p>
            <w:pPr>
              <w:jc w:val="right"/>
            </w:pPr>
            <w:r>
              <w:rPr>
                <w:rFonts w:ascii="Calibri" w:hAnsi="Calibri"/>
                <w:sz w:val="18"/>
              </w:rPr>
              <w:t>-8.0</w:t>
            </w:r>
          </w:p>
        </w:tc>
      </w:tr>
    </w:tbl>
    <w:p>
      <w:r>
        <w:rPr>
          <w:color w:val="253331"/>
          <w:sz w:val="18"/>
        </w:rPr>
        <w:t>Note. The runs differ in reference year, in background year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2,617.2</w:t>
            </w:r>
          </w:p>
        </w:tc>
        <w:tc>
          <w:tcPr>
            <w:tcW w:type="dxa" w:w="1987"/>
          </w:tcPr>
          <w:p>
            <w:pPr>
              <w:jc w:val="right"/>
            </w:pPr>
            <w:r>
              <w:rPr>
                <w:rFonts w:ascii="Calibri" w:hAnsi="Calibri"/>
                <w:sz w:val="18"/>
              </w:rPr>
              <w:t>566.5</w:t>
            </w:r>
          </w:p>
        </w:tc>
        <w:tc>
          <w:tcPr>
            <w:tcW w:type="dxa" w:w="1987"/>
          </w:tcPr>
          <w:p>
            <w:pPr>
              <w:jc w:val="right"/>
            </w:pPr>
            <w:r>
              <w:rPr>
                <w:rFonts w:ascii="Calibri" w:hAnsi="Calibri"/>
                <w:sz w:val="18"/>
              </w:rPr>
              <w:t>-2,050.6</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551.0</w:t>
            </w:r>
          </w:p>
        </w:tc>
        <w:tc>
          <w:tcPr>
            <w:tcW w:type="dxa" w:w="1987"/>
          </w:tcPr>
          <w:p>
            <w:pPr>
              <w:jc w:val="right"/>
            </w:pPr>
            <w:r>
              <w:rPr>
                <w:rFonts w:ascii="Calibri" w:hAnsi="Calibri"/>
                <w:sz w:val="18"/>
              </w:rPr>
              <w:t>1,154.3</w:t>
            </w:r>
          </w:p>
        </w:tc>
        <w:tc>
          <w:tcPr>
            <w:tcW w:type="dxa" w:w="1987"/>
          </w:tcPr>
          <w:p>
            <w:pPr>
              <w:jc w:val="right"/>
            </w:pPr>
            <w:r>
              <w:rPr>
                <w:rFonts w:ascii="Calibri" w:hAnsi="Calibri"/>
                <w:sz w:val="18"/>
              </w:rPr>
              <w:t>603.3</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1,132.8</w:t>
            </w:r>
          </w:p>
        </w:tc>
        <w:tc>
          <w:tcPr>
            <w:tcW w:type="dxa" w:w="1987"/>
          </w:tcPr>
          <w:p>
            <w:pPr>
              <w:jc w:val="right"/>
            </w:pPr>
            <w:r>
              <w:rPr>
                <w:rFonts w:ascii="Calibri" w:hAnsi="Calibri"/>
                <w:sz w:val="18"/>
              </w:rPr>
              <w:t>791.6</w:t>
            </w:r>
          </w:p>
        </w:tc>
        <w:tc>
          <w:tcPr>
            <w:tcW w:type="dxa" w:w="1987"/>
          </w:tcPr>
          <w:p>
            <w:pPr>
              <w:jc w:val="right"/>
            </w:pPr>
            <w:r>
              <w:rPr>
                <w:rFonts w:ascii="Calibri" w:hAnsi="Calibri"/>
                <w:sz w:val="18"/>
              </w:rPr>
              <w:t>-341.2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Other</w:t>
            </w:r>
          </w:p>
        </w:tc>
        <w:tc>
          <w:tcPr>
            <w:tcW w:type="dxa" w:w="1987"/>
          </w:tcPr>
          <w:p>
            <w:pPr>
              <w:jc w:val="right"/>
            </w:pPr>
            <w:r>
              <w:rPr>
                <w:rFonts w:ascii="Calibri" w:hAnsi="Calibri"/>
                <w:sz w:val="18"/>
              </w:rPr>
              <w:t>498.0</w:t>
            </w:r>
          </w:p>
        </w:tc>
        <w:tc>
          <w:tcPr>
            <w:tcW w:type="dxa" w:w="1987"/>
          </w:tcPr>
          <w:p>
            <w:pPr>
              <w:jc w:val="right"/>
            </w:pPr>
            <w:r>
              <w:rPr>
                <w:rFonts w:ascii="Calibri" w:hAnsi="Calibri"/>
                <w:sz w:val="18"/>
              </w:rPr>
              <w:t>293.0</w:t>
            </w:r>
          </w:p>
        </w:tc>
        <w:tc>
          <w:tcPr>
            <w:tcW w:type="dxa" w:w="1987"/>
          </w:tcPr>
          <w:p>
            <w:pPr>
              <w:jc w:val="right"/>
            </w:pPr>
            <w:r>
              <w:rPr>
                <w:rFonts w:ascii="Calibri" w:hAnsi="Calibri"/>
                <w:sz w:val="18"/>
              </w:rPr>
              <w:t>-205.1</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152.2</w:t>
            </w:r>
          </w:p>
        </w:tc>
        <w:tc>
          <w:tcPr>
            <w:tcW w:type="dxa" w:w="1987"/>
          </w:tcPr>
          <w:p>
            <w:pPr>
              <w:jc w:val="right"/>
            </w:pPr>
            <w:r>
              <w:rPr>
                <w:rFonts w:ascii="Calibri" w:hAnsi="Calibri"/>
                <w:sz w:val="18"/>
              </w:rPr>
              <w:t>114.6</w:t>
            </w:r>
          </w:p>
        </w:tc>
        <w:tc>
          <w:tcPr>
            <w:tcW w:type="dxa" w:w="1987"/>
          </w:tcPr>
          <w:p>
            <w:pPr>
              <w:jc w:val="right"/>
            </w:pPr>
            <w:r>
              <w:rPr>
                <w:rFonts w:ascii="Calibri" w:hAnsi="Calibri"/>
                <w:sz w:val="18"/>
              </w:rPr>
              <w:t>-37.7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409.5</w:t>
            </w:r>
          </w:p>
        </w:tc>
        <w:tc>
          <w:tcPr>
            <w:tcW w:type="dxa" w:w="1987"/>
          </w:tcPr>
          <w:p>
            <w:pPr>
              <w:jc w:val="right"/>
            </w:pPr>
            <w:r>
              <w:rPr>
                <w:rFonts w:ascii="Calibri" w:hAnsi="Calibri"/>
                <w:sz w:val="18"/>
              </w:rPr>
              <w:t>433.7</w:t>
            </w:r>
          </w:p>
        </w:tc>
        <w:tc>
          <w:tcPr>
            <w:tcW w:type="dxa" w:w="1987"/>
          </w:tcPr>
          <w:p>
            <w:pPr>
              <w:jc w:val="right"/>
            </w:pPr>
            <w:r>
              <w:rPr>
                <w:rFonts w:ascii="Calibri" w:hAnsi="Calibri"/>
                <w:sz w:val="18"/>
              </w:rPr>
              <w:t>24.2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152.1</w:t>
            </w:r>
          </w:p>
        </w:tc>
        <w:tc>
          <w:tcPr>
            <w:tcW w:type="dxa" w:w="1987"/>
          </w:tcPr>
          <w:p>
            <w:pPr>
              <w:jc w:val="right"/>
            </w:pPr>
            <w:r>
              <w:rPr>
                <w:rFonts w:ascii="Calibri" w:hAnsi="Calibri"/>
                <w:sz w:val="18"/>
              </w:rPr>
              <w:t>131.2</w:t>
            </w:r>
          </w:p>
        </w:tc>
        <w:tc>
          <w:tcPr>
            <w:tcW w:type="dxa" w:w="1987"/>
          </w:tcPr>
          <w:p>
            <w:pPr>
              <w:jc w:val="right"/>
            </w:pPr>
            <w:r>
              <w:rPr>
                <w:rFonts w:ascii="Calibri" w:hAnsi="Calibri"/>
                <w:sz w:val="18"/>
              </w:rPr>
              <w:t>-20.9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722.8</w:t>
            </w:r>
          </w:p>
        </w:tc>
        <w:tc>
          <w:tcPr>
            <w:tcW w:type="dxa" w:w="1987"/>
          </w:tcPr>
          <w:p>
            <w:pPr>
              <w:jc w:val="right"/>
            </w:pPr>
            <w:r>
              <w:rPr>
                <w:rFonts w:ascii="Calibri" w:hAnsi="Calibri"/>
                <w:sz w:val="18"/>
              </w:rPr>
              <w:t>707.7</w:t>
            </w:r>
          </w:p>
        </w:tc>
        <w:tc>
          <w:tcPr>
            <w:tcW w:type="dxa" w:w="1987"/>
          </w:tcPr>
          <w:p>
            <w:pPr>
              <w:jc w:val="right"/>
            </w:pPr>
            <w:r>
              <w:rPr>
                <w:rFonts w:ascii="Calibri" w:hAnsi="Calibri"/>
                <w:sz w:val="18"/>
              </w:rPr>
              <w:t>-15.1</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74.3</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-0.1</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74.61</w:t>
            </w:r>
          </w:p>
        </w:tc>
        <w:tc>
          <w:tcPr>
            <w:tcW w:type="dxa" w:w="1419"/>
          </w:tcPr>
          <w:p>
            <w:pPr>
              <w:jc w:val="right"/>
            </w:pPr>
            <w:r>
              <w:rPr>
                <w:rFonts w:ascii="Calibri" w:hAnsi="Calibri"/>
                <w:sz w:val="18"/>
              </w:rPr>
              <w:t>0.10</w:t>
            </w:r>
          </w:p>
        </w:tc>
        <w:tc>
          <w:tcPr>
            <w:tcW w:type="dxa" w:w="1419"/>
          </w:tcPr>
          <w:p>
            <w:pPr>
              <w:jc w:val="right"/>
            </w:pPr>
            <w:r>
              <w:rPr>
                <w:rFonts w:ascii="Calibri" w:hAnsi="Calibri"/>
                <w:sz w:val="18"/>
              </w:rPr>
              <w:t>74.78</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131.23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3,796.93</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4,265.07</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4,116.74</w:t>
            </w:r>
          </w:p>
        </w:tc>
        <w:tc>
          <w:tcPr>
            <w:tcW w:type="dxa" w:w="1419"/>
          </w:tcPr>
          <w:p>
            <w:pPr>
              <w:jc w:val="right"/>
            </w:pPr>
            <w:r>
              <w:rPr>
                <w:rFonts w:ascii="Calibri" w:hAnsi="Calibri"/>
                <w:sz w:val="18"/>
              </w:rPr>
              <w:t>0.89</w:t>
            </w:r>
          </w:p>
        </w:tc>
        <w:tc>
          <w:tcPr>
            <w:tcW w:type="dxa" w:w="1419"/>
          </w:tcPr>
          <w:p>
            <w:pPr>
              <w:jc w:val="right"/>
            </w:pPr>
            <w:r>
              <w:rPr>
                <w:rFonts w:ascii="Calibri" w:hAnsi="Calibri"/>
                <w:sz w:val="18"/>
              </w:rPr>
              <w:t>4,117.69</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3,484.38</w:t>
            </w:r>
          </w:p>
        </w:tc>
        <w:tc>
          <w:tcPr>
            <w:tcW w:type="dxa" w:w="1419"/>
          </w:tcPr>
          <w:p>
            <w:pPr>
              <w:jc w:val="right"/>
            </w:pPr>
            <w:r>
              <w:rPr>
                <w:rFonts w:ascii="Calibri" w:hAnsi="Calibri"/>
                <w:sz w:val="18"/>
              </w:rPr>
              <w:t>13.64</w:t>
            </w:r>
          </w:p>
        </w:tc>
        <w:tc>
          <w:tcPr>
            <w:tcW w:type="dxa" w:w="1419"/>
          </w:tcPr>
          <w:p>
            <w:pPr>
              <w:jc w:val="right"/>
            </w:pPr>
            <w:r>
              <w:rPr>
                <w:rFonts w:ascii="Calibri" w:hAnsi="Calibri"/>
                <w:sz w:val="18"/>
              </w:rPr>
              <w:t>3,498.28</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175.42</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218.64</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02_scopes_wood_hertwich/2022c/scopes_summary_detailed.csv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13.15</w:t>
            </w:r>
          </w:p>
        </w:tc>
        <w:tc>
          <w:tcPr>
            <w:tcW w:type="dxa" w:w="1656"/>
          </w:tcPr>
          <w:p>
            <w:r>
              <w:rPr>
                <w:rFonts w:ascii="Calibri" w:hAnsi="Calibri"/>
                <w:sz w:val="18"/>
              </w:rPr>
              <w:t>exogenous (excluded from the headline)</w:t>
            </w:r>
          </w:p>
        </w:tc>
      </w:tr>
    </w:tbl>
    <w:p>
      <w:r>
        <w:rPr>
          <w:color w:val="253331"/>
          <w:sz w:val="18"/>
        </w:rPr>
        <w:t>Note. The two EXIOBASE-family results sit at 12.90 and 13.15 t per person; the three national-accounts-family results sit between 9.77 and 11.00. This study is within 1.9 % of the only other published Danish EXIOBASE study, and between 17 % and 35 % above the national-accounts family, as that family's own members are above one another. The gap against Statistics Denmark is therefore a property of the model family rather than an error in this implementation. The five estimates span a coefficient of variation of 12.7 %,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2.3 %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4.27</w:t>
            </w:r>
          </w:p>
        </w:tc>
        <w:tc>
          <w:tcPr>
            <w:tcW w:type="dxa" w:w="1987"/>
          </w:tcPr>
          <w:p>
            <w:pPr>
              <w:jc w:val="right"/>
            </w:pPr>
            <w:r>
              <w:rPr>
                <w:rFonts w:ascii="Calibri" w:hAnsi="Calibri"/>
                <w:sz w:val="18"/>
              </w:rPr>
              <w:t>0.726</w:t>
            </w:r>
          </w:p>
        </w:tc>
        <w:tc>
          <w:tcPr>
            <w:tcW w:type="dxa" w:w="1987"/>
          </w:tcPr>
          <w:p>
            <w:pPr>
              <w:jc w:val="right"/>
            </w:pPr>
            <w:r>
              <w:rPr>
                <w:rFonts w:ascii="Calibri" w:hAnsi="Calibri"/>
                <w:sz w:val="18"/>
              </w:rPr>
              <w:t>5.5</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4.99</w:t>
            </w:r>
          </w:p>
        </w:tc>
        <w:tc>
          <w:tcPr>
            <w:tcW w:type="dxa" w:w="1987"/>
          </w:tcPr>
          <w:p>
            <w:pPr>
              <w:jc w:val="right"/>
            </w:pPr>
            <w:r>
              <w:rPr>
                <w:rFonts w:ascii="Calibri" w:hAnsi="Calibri"/>
                <w:sz w:val="18"/>
              </w:rPr>
              <w:t>0.850</w:t>
            </w:r>
          </w:p>
        </w:tc>
        <w:tc>
          <w:tcPr>
            <w:tcW w:type="dxa" w:w="1987"/>
          </w:tcPr>
          <w:p>
            <w:pPr>
              <w:jc w:val="right"/>
            </w:pPr>
            <w:r>
              <w:rPr>
                <w:rFonts w:ascii="Calibri" w:hAnsi="Calibri"/>
                <w:sz w:val="18"/>
              </w:rPr>
              <w:t>6.5</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6.14</w:t>
            </w:r>
          </w:p>
        </w:tc>
        <w:tc>
          <w:tcPr>
            <w:tcW w:type="dxa" w:w="1987"/>
          </w:tcPr>
          <w:p>
            <w:pPr>
              <w:jc w:val="right"/>
            </w:pPr>
            <w:r>
              <w:rPr>
                <w:rFonts w:ascii="Calibri" w:hAnsi="Calibri"/>
                <w:sz w:val="18"/>
              </w:rPr>
              <w:t>1.046</w:t>
            </w:r>
          </w:p>
        </w:tc>
        <w:tc>
          <w:tcPr>
            <w:tcW w:type="dxa" w:w="1987"/>
          </w:tcPr>
          <w:p>
            <w:pPr>
              <w:jc w:val="right"/>
            </w:pPr>
            <w:r>
              <w:rPr>
                <w:rFonts w:ascii="Calibri" w:hAnsi="Calibri"/>
                <w:sz w:val="18"/>
              </w:rPr>
              <w:t>8.0</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revision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Revision</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IPCC SAR (1995)</w:t>
            </w:r>
          </w:p>
        </w:tc>
        <w:tc>
          <w:tcPr>
            <w:tcW w:type="dxa" w:w="4968"/>
          </w:tcPr>
          <w:p>
            <w:pPr>
              <w:jc w:val="right"/>
            </w:pPr>
            <w:r>
              <w:rPr>
                <w:rFonts w:ascii="Calibri" w:hAnsi="Calibri"/>
                <w:sz w:val="18"/>
              </w:rPr>
              <w:t>3,253.8</w:t>
            </w:r>
          </w:p>
        </w:tc>
      </w:tr>
      <w:tr>
        <w:tc>
          <w:tcPr>
            <w:tcW w:type="dxa" w:w="4968"/>
          </w:tcPr>
          <w:p>
            <w:r>
              <w:rPr>
                <w:rFonts w:ascii="Calibri" w:hAnsi="Calibri"/>
                <w:sz w:val="18"/>
              </w:rPr>
              <w:t>IPCC TAR (2001)</w:t>
            </w:r>
          </w:p>
        </w:tc>
        <w:tc>
          <w:tcPr>
            <w:tcW w:type="dxa" w:w="4968"/>
          </w:tcPr>
          <w:p>
            <w:pPr>
              <w:jc w:val="right"/>
            </w:pPr>
            <w:r>
              <w:rPr>
                <w:rFonts w:ascii="Calibri" w:hAnsi="Calibri"/>
                <w:sz w:val="18"/>
              </w:rPr>
              <w:t>3,294.2</w:t>
            </w:r>
          </w:p>
        </w:tc>
      </w:tr>
      <w:tr>
        <w:tc>
          <w:tcPr>
            <w:tcW w:type="dxa" w:w="4968"/>
          </w:tcPr>
          <w:p>
            <w:r>
              <w:rPr>
                <w:rFonts w:ascii="Calibri" w:hAnsi="Calibri"/>
                <w:sz w:val="18"/>
              </w:rPr>
              <w:t>IPCC AR4 (2007)</w:t>
            </w:r>
          </w:p>
        </w:tc>
        <w:tc>
          <w:tcPr>
            <w:tcW w:type="dxa" w:w="4968"/>
          </w:tcPr>
          <w:p>
            <w:pPr>
              <w:jc w:val="right"/>
            </w:pPr>
            <w:r>
              <w:rPr>
                <w:rFonts w:ascii="Calibri" w:hAnsi="Calibri"/>
                <w:sz w:val="18"/>
              </w:rPr>
              <w:t>3,347.0</w:t>
            </w:r>
          </w:p>
        </w:tc>
      </w:tr>
      <w:tr>
        <w:tc>
          <w:tcPr>
            <w:tcW w:type="dxa" w:w="4968"/>
          </w:tcPr>
          <w:p>
            <w:r>
              <w:rPr>
                <w:rFonts w:ascii="Calibri" w:hAnsi="Calibri"/>
                <w:sz w:val="18"/>
              </w:rPr>
              <w:t>IPCC AR5 (2013)</w:t>
            </w:r>
          </w:p>
        </w:tc>
        <w:tc>
          <w:tcPr>
            <w:tcW w:type="dxa" w:w="4968"/>
          </w:tcPr>
          <w:p>
            <w:pPr>
              <w:jc w:val="right"/>
            </w:pPr>
            <w:r>
              <w:rPr>
                <w:rFonts w:ascii="Calibri" w:hAnsi="Calibri"/>
                <w:sz w:val="18"/>
              </w:rPr>
              <w:t>3,425.3</w:t>
            </w:r>
          </w:p>
        </w:tc>
      </w:tr>
      <w:tr>
        <w:tc>
          <w:tcPr>
            <w:tcW w:type="dxa" w:w="4968"/>
          </w:tcPr>
          <w:p>
            <w:r>
              <w:rPr>
                <w:rFonts w:ascii="Calibri" w:hAnsi="Calibri"/>
                <w:sz w:val="18"/>
              </w:rPr>
              <w:t>IPCC AR6 (2021)</w:t>
            </w:r>
          </w:p>
        </w:tc>
        <w:tc>
          <w:tcPr>
            <w:tcW w:type="dxa" w:w="4968"/>
          </w:tcPr>
          <w:p>
            <w:pPr>
              <w:jc w:val="right"/>
            </w:pPr>
            <w:r>
              <w:rPr>
                <w:rFonts w:ascii="Calibri" w:hAnsi="Calibri"/>
                <w:sz w:val="18"/>
              </w:rPr>
              <w:t>3,415.4</w:t>
            </w:r>
          </w:p>
        </w:tc>
      </w:tr>
    </w:tbl>
    <w:p>
      <w:r>
        <w:rPr>
          <w:color w:val="253331"/>
          <w:sz w:val="18"/>
        </w:rPr>
        <w:t>Note. The study reports AR6 throughout. The spread across four IPCC assessment revisions is a reminder that a climate footprint is not a measurement but a measurement combined with a convention, and that the convention must be stated with the number. The environment variable HC_GWP_REVISION reproduces any row.</w:t>
      </w:r>
    </w:p>
    <w:p>
      <w:r>
        <w:rPr>
          <w:color w:val="6B7F7B"/>
          <w:sz w:val="17"/>
        </w:rPr>
        <w:t>Source. 15_gwp_revision/gwp_revision_sensitivity.csv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74.6</w:t>
            </w:r>
          </w:p>
        </w:tc>
        <w:tc>
          <w:tcPr>
            <w:tcW w:type="dxa" w:w="1656"/>
          </w:tcPr>
          <w:p>
            <w:pPr>
              <w:jc w:val="right"/>
            </w:pPr>
            <w:r>
              <w:rPr>
                <w:rFonts w:ascii="Calibri" w:hAnsi="Calibri"/>
                <w:sz w:val="18"/>
              </w:rPr>
              <w:t>81.6</w:t>
            </w:r>
          </w:p>
        </w:tc>
        <w:tc>
          <w:tcPr>
            <w:tcW w:type="dxa" w:w="1656"/>
          </w:tcPr>
          <w:p>
            <w:pPr>
              <w:jc w:val="right"/>
            </w:pPr>
            <w:r>
              <w:rPr>
                <w:rFonts w:ascii="Calibri" w:hAnsi="Calibri"/>
                <w:sz w:val="18"/>
              </w:rPr>
              <w:t>84.2</w:t>
            </w:r>
          </w:p>
        </w:tc>
        <w:tc>
          <w:tcPr>
            <w:tcW w:type="dxa" w:w="1656"/>
          </w:tcPr>
          <w:p>
            <w:pPr>
              <w:jc w:val="right"/>
            </w:pPr>
            <w:r>
              <w:rPr>
                <w:rFonts w:ascii="Calibri" w:hAnsi="Calibri"/>
                <w:sz w:val="18"/>
              </w:rPr>
              <w:t>12.9</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3,534.9</w:t>
            </w:r>
          </w:p>
        </w:tc>
        <w:tc>
          <w:tcPr>
            <w:tcW w:type="dxa" w:w="1656"/>
          </w:tcPr>
          <w:p>
            <w:pPr>
              <w:jc w:val="right"/>
            </w:pPr>
            <w:r>
              <w:rPr>
                <w:rFonts w:ascii="Calibri" w:hAnsi="Calibri"/>
                <w:sz w:val="18"/>
              </w:rPr>
              <w:t>4,069.5</w:t>
            </w:r>
          </w:p>
        </w:tc>
        <w:tc>
          <w:tcPr>
            <w:tcW w:type="dxa" w:w="1656"/>
          </w:tcPr>
          <w:p>
            <w:pPr>
              <w:jc w:val="right"/>
            </w:pPr>
            <w:r>
              <w:rPr>
                <w:rFonts w:ascii="Calibri" w:hAnsi="Calibri"/>
                <w:sz w:val="18"/>
              </w:rPr>
              <w:t>4,347.1</w:t>
            </w:r>
          </w:p>
        </w:tc>
        <w:tc>
          <w:tcPr>
            <w:tcW w:type="dxa" w:w="1656"/>
          </w:tcPr>
          <w:p>
            <w:pPr>
              <w:jc w:val="right"/>
            </w:pPr>
            <w:r>
              <w:rPr>
                <w:rFonts w:ascii="Calibri" w:hAnsi="Calibri"/>
                <w:sz w:val="18"/>
              </w:rPr>
              <w:t>23.0</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4,115.6</w:t>
            </w:r>
          </w:p>
        </w:tc>
        <w:tc>
          <w:tcPr>
            <w:tcW w:type="dxa" w:w="1656"/>
          </w:tcPr>
          <w:p>
            <w:pPr>
              <w:jc w:val="right"/>
            </w:pPr>
            <w:r>
              <w:rPr>
                <w:rFonts w:ascii="Calibri" w:hAnsi="Calibri"/>
                <w:sz w:val="18"/>
              </w:rPr>
              <w:t>4,623.8</w:t>
            </w:r>
          </w:p>
        </w:tc>
        <w:tc>
          <w:tcPr>
            <w:tcW w:type="dxa" w:w="1656"/>
          </w:tcPr>
          <w:p>
            <w:pPr>
              <w:jc w:val="right"/>
            </w:pPr>
            <w:r>
              <w:rPr>
                <w:rFonts w:ascii="Calibri" w:hAnsi="Calibri"/>
                <w:sz w:val="18"/>
              </w:rPr>
              <w:t>4,991.3</w:t>
            </w:r>
          </w:p>
        </w:tc>
        <w:tc>
          <w:tcPr>
            <w:tcW w:type="dxa" w:w="1656"/>
          </w:tcPr>
          <w:p>
            <w:pPr>
              <w:jc w:val="right"/>
            </w:pPr>
            <w:r>
              <w:rPr>
                <w:rFonts w:ascii="Calibri" w:hAnsi="Calibri"/>
                <w:sz w:val="18"/>
              </w:rPr>
              <w:t>21.3</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3,466.3</w:t>
            </w:r>
          </w:p>
        </w:tc>
        <w:tc>
          <w:tcPr>
            <w:tcW w:type="dxa" w:w="1656"/>
          </w:tcPr>
          <w:p>
            <w:pPr>
              <w:jc w:val="right"/>
            </w:pPr>
            <w:r>
              <w:rPr>
                <w:rFonts w:ascii="Calibri" w:hAnsi="Calibri"/>
                <w:sz w:val="18"/>
              </w:rPr>
              <w:t>4,260.2</w:t>
            </w:r>
          </w:p>
        </w:tc>
        <w:tc>
          <w:tcPr>
            <w:tcW w:type="dxa" w:w="1656"/>
          </w:tcPr>
          <w:p>
            <w:pPr>
              <w:jc w:val="right"/>
            </w:pPr>
            <w:r>
              <w:rPr>
                <w:rFonts w:ascii="Calibri" w:hAnsi="Calibri"/>
                <w:sz w:val="18"/>
              </w:rPr>
              <w:t>4,718.9</w:t>
            </w:r>
          </w:p>
        </w:tc>
        <w:tc>
          <w:tcPr>
            <w:tcW w:type="dxa" w:w="1656"/>
          </w:tcPr>
          <w:p>
            <w:pPr>
              <w:jc w:val="right"/>
            </w:pPr>
            <w:r>
              <w:rPr>
                <w:rFonts w:ascii="Calibri" w:hAnsi="Calibri"/>
                <w:sz w:val="18"/>
              </w:rPr>
              <w:t>36.1</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221.1</w:t>
            </w:r>
          </w:p>
        </w:tc>
        <w:tc>
          <w:tcPr>
            <w:tcW w:type="dxa" w:w="1656"/>
          </w:tcPr>
          <w:p>
            <w:pPr>
              <w:jc w:val="right"/>
            </w:pPr>
            <w:r>
              <w:rPr>
                <w:rFonts w:ascii="Calibri" w:hAnsi="Calibri"/>
                <w:sz w:val="18"/>
              </w:rPr>
              <w:t>244.8</w:t>
            </w:r>
          </w:p>
        </w:tc>
        <w:tc>
          <w:tcPr>
            <w:tcW w:type="dxa" w:w="1656"/>
          </w:tcPr>
          <w:p>
            <w:pPr>
              <w:jc w:val="right"/>
            </w:pPr>
            <w:r>
              <w:rPr>
                <w:rFonts w:ascii="Calibri" w:hAnsi="Calibri"/>
                <w:sz w:val="18"/>
              </w:rPr>
              <w:t>260.7</w:t>
            </w:r>
          </w:p>
        </w:tc>
        <w:tc>
          <w:tcPr>
            <w:tcW w:type="dxa" w:w="1656"/>
          </w:tcPr>
          <w:p>
            <w:pPr>
              <w:jc w:val="right"/>
            </w:pPr>
            <w:r>
              <w:rPr>
                <w:rFonts w:ascii="Calibri" w:hAnsi="Calibri"/>
                <w:sz w:val="18"/>
              </w:rPr>
              <w:t>17.9</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4,266.9</w:t>
            </w:r>
          </w:p>
        </w:tc>
        <w:tc>
          <w:tcPr>
            <w:tcW w:type="dxa" w:w="1419"/>
          </w:tcPr>
          <w:p>
            <w:pPr>
              <w:jc w:val="right"/>
            </w:pPr>
            <w:r>
              <w:rPr>
                <w:rFonts w:ascii="Calibri" w:hAnsi="Calibri"/>
                <w:sz w:val="18"/>
              </w:rPr>
              <w:t>4,289.0</w:t>
            </w:r>
          </w:p>
        </w:tc>
        <w:tc>
          <w:tcPr>
            <w:tcW w:type="dxa" w:w="1419"/>
          </w:tcPr>
          <w:p>
            <w:pPr>
              <w:jc w:val="right"/>
            </w:pPr>
            <w:r>
              <w:rPr>
                <w:rFonts w:ascii="Calibri" w:hAnsi="Calibri"/>
                <w:sz w:val="18"/>
              </w:rPr>
              <w:t>3,674.8</w:t>
            </w:r>
          </w:p>
        </w:tc>
        <w:tc>
          <w:tcPr>
            <w:tcW w:type="dxa" w:w="1419"/>
          </w:tcPr>
          <w:p>
            <w:pPr>
              <w:jc w:val="right"/>
            </w:pPr>
            <w:r>
              <w:rPr>
                <w:rFonts w:ascii="Calibri" w:hAnsi="Calibri"/>
                <w:sz w:val="18"/>
              </w:rPr>
              <w:t>5,028.9</w:t>
            </w:r>
          </w:p>
        </w:tc>
        <w:tc>
          <w:tcPr>
            <w:tcW w:type="dxa" w:w="1419"/>
          </w:tcPr>
          <w:p>
            <w:pPr>
              <w:jc w:val="right"/>
            </w:pPr>
            <w:r>
              <w:rPr>
                <w:rFonts w:ascii="Calibri" w:hAnsi="Calibri"/>
                <w:sz w:val="18"/>
              </w:rPr>
              <w:t>8.00</w:t>
            </w:r>
          </w:p>
        </w:tc>
        <w:tc>
          <w:tcPr>
            <w:tcW w:type="dxa" w:w="1419"/>
          </w:tcPr>
          <w:p>
            <w:pPr>
              <w:jc w:val="right"/>
            </w:pPr>
            <w:r>
              <w:rPr>
                <w:rFonts w:ascii="Calibri" w:hAnsi="Calibri"/>
                <w:sz w:val="18"/>
              </w:rPr>
              <w:t>8.04</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3,498.3</w:t>
            </w:r>
          </w:p>
        </w:tc>
        <w:tc>
          <w:tcPr>
            <w:tcW w:type="dxa" w:w="1419"/>
          </w:tcPr>
          <w:p>
            <w:pPr>
              <w:jc w:val="right"/>
            </w:pPr>
            <w:r>
              <w:rPr>
                <w:rFonts w:ascii="Calibri" w:hAnsi="Calibri"/>
                <w:sz w:val="18"/>
              </w:rPr>
              <w:t>3,496.9</w:t>
            </w:r>
          </w:p>
        </w:tc>
        <w:tc>
          <w:tcPr>
            <w:tcW w:type="dxa" w:w="1419"/>
          </w:tcPr>
          <w:p>
            <w:pPr>
              <w:jc w:val="right"/>
            </w:pPr>
            <w:r>
              <w:rPr>
                <w:rFonts w:ascii="Calibri" w:hAnsi="Calibri"/>
                <w:sz w:val="18"/>
              </w:rPr>
              <w:t>2,973.8</w:t>
            </w:r>
          </w:p>
        </w:tc>
        <w:tc>
          <w:tcPr>
            <w:tcW w:type="dxa" w:w="1419"/>
          </w:tcPr>
          <w:p>
            <w:pPr>
              <w:jc w:val="right"/>
            </w:pPr>
            <w:r>
              <w:rPr>
                <w:rFonts w:ascii="Calibri" w:hAnsi="Calibri"/>
                <w:sz w:val="18"/>
              </w:rPr>
              <w:t>4,118.9</w:t>
            </w:r>
          </w:p>
        </w:tc>
        <w:tc>
          <w:tcPr>
            <w:tcW w:type="dxa" w:w="1419"/>
          </w:tcPr>
          <w:p>
            <w:pPr>
              <w:jc w:val="right"/>
            </w:pPr>
            <w:r>
              <w:rPr>
                <w:rFonts w:ascii="Calibri" w:hAnsi="Calibri"/>
                <w:sz w:val="18"/>
              </w:rPr>
              <w:t>8.31</w:t>
            </w:r>
          </w:p>
        </w:tc>
        <w:tc>
          <w:tcPr>
            <w:tcW w:type="dxa" w:w="1419"/>
          </w:tcPr>
          <w:p>
            <w:pPr>
              <w:jc w:val="right"/>
            </w:pPr>
            <w:r>
              <w:rPr>
                <w:rFonts w:ascii="Calibri" w:hAnsi="Calibri"/>
                <w:sz w:val="18"/>
              </w:rPr>
              <w:t>8.31</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74.8</w:t>
            </w:r>
          </w:p>
        </w:tc>
        <w:tc>
          <w:tcPr>
            <w:tcW w:type="dxa" w:w="1419"/>
          </w:tcPr>
          <w:p>
            <w:pPr>
              <w:jc w:val="right"/>
            </w:pPr>
            <w:r>
              <w:rPr>
                <w:rFonts w:ascii="Calibri" w:hAnsi="Calibri"/>
                <w:sz w:val="18"/>
              </w:rPr>
              <w:t>74.7</w:t>
            </w:r>
          </w:p>
        </w:tc>
        <w:tc>
          <w:tcPr>
            <w:tcW w:type="dxa" w:w="1419"/>
          </w:tcPr>
          <w:p>
            <w:pPr>
              <w:jc w:val="right"/>
            </w:pPr>
            <w:r>
              <w:rPr>
                <w:rFonts w:ascii="Calibri" w:hAnsi="Calibri"/>
                <w:sz w:val="18"/>
              </w:rPr>
              <w:t>63.5</w:t>
            </w:r>
          </w:p>
        </w:tc>
        <w:tc>
          <w:tcPr>
            <w:tcW w:type="dxa" w:w="1419"/>
          </w:tcPr>
          <w:p>
            <w:pPr>
              <w:jc w:val="right"/>
            </w:pPr>
            <w:r>
              <w:rPr>
                <w:rFonts w:ascii="Calibri" w:hAnsi="Calibri"/>
                <w:sz w:val="18"/>
              </w:rPr>
              <w:t>88.1</w:t>
            </w:r>
          </w:p>
        </w:tc>
        <w:tc>
          <w:tcPr>
            <w:tcW w:type="dxa" w:w="1419"/>
          </w:tcPr>
          <w:p>
            <w:pPr>
              <w:jc w:val="right"/>
            </w:pPr>
            <w:r>
              <w:rPr>
                <w:rFonts w:ascii="Calibri" w:hAnsi="Calibri"/>
                <w:sz w:val="18"/>
              </w:rPr>
              <w:t>8.36</w:t>
            </w:r>
          </w:p>
        </w:tc>
        <w:tc>
          <w:tcPr>
            <w:tcW w:type="dxa" w:w="1419"/>
          </w:tcPr>
          <w:p>
            <w:pPr>
              <w:jc w:val="right"/>
            </w:pPr>
            <w:r>
              <w:rPr>
                <w:rFonts w:ascii="Calibri" w:hAnsi="Calibri"/>
                <w:sz w:val="18"/>
              </w:rPr>
              <w:t>8.35</w:t>
            </w:r>
          </w:p>
        </w:tc>
      </w:tr>
      <w:tr>
        <w:tc>
          <w:tcPr>
            <w:tcW w:type="dxa" w:w="1419"/>
          </w:tcPr>
          <w:p>
            <w:r>
              <w:rPr>
                <w:rFonts w:ascii="Calibri" w:hAnsi="Calibri"/>
                <w:sz w:val="18"/>
              </w:rPr>
              <w:t>Land use (km2)</w:t>
            </w:r>
          </w:p>
        </w:tc>
        <w:tc>
          <w:tcPr>
            <w:tcW w:type="dxa" w:w="1419"/>
          </w:tcPr>
          <w:p>
            <w:pPr>
              <w:jc w:val="right"/>
            </w:pPr>
            <w:r>
              <w:rPr>
                <w:rFonts w:ascii="Calibri" w:hAnsi="Calibri"/>
                <w:sz w:val="18"/>
              </w:rPr>
              <w:t>4,117.7</w:t>
            </w:r>
          </w:p>
        </w:tc>
        <w:tc>
          <w:tcPr>
            <w:tcW w:type="dxa" w:w="1419"/>
          </w:tcPr>
          <w:p>
            <w:pPr>
              <w:jc w:val="right"/>
            </w:pPr>
            <w:r>
              <w:rPr>
                <w:rFonts w:ascii="Calibri" w:hAnsi="Calibri"/>
                <w:sz w:val="18"/>
              </w:rPr>
              <w:t>4,114.6</w:t>
            </w:r>
          </w:p>
        </w:tc>
        <w:tc>
          <w:tcPr>
            <w:tcW w:type="dxa" w:w="1419"/>
          </w:tcPr>
          <w:p>
            <w:pPr>
              <w:jc w:val="right"/>
            </w:pPr>
            <w:r>
              <w:rPr>
                <w:rFonts w:ascii="Calibri" w:hAnsi="Calibri"/>
                <w:sz w:val="18"/>
              </w:rPr>
              <w:t>3,495.2</w:t>
            </w:r>
          </w:p>
        </w:tc>
        <w:tc>
          <w:tcPr>
            <w:tcW w:type="dxa" w:w="1419"/>
          </w:tcPr>
          <w:p>
            <w:pPr>
              <w:jc w:val="right"/>
            </w:pPr>
            <w:r>
              <w:rPr>
                <w:rFonts w:ascii="Calibri" w:hAnsi="Calibri"/>
                <w:sz w:val="18"/>
              </w:rPr>
              <w:t>4,852.2</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8.37</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221.1</w:t>
            </w:r>
          </w:p>
        </w:tc>
        <w:tc>
          <w:tcPr>
            <w:tcW w:type="dxa" w:w="1419"/>
          </w:tcPr>
          <w:p>
            <w:pPr>
              <w:jc w:val="right"/>
            </w:pPr>
            <w:r>
              <w:rPr>
                <w:rFonts w:ascii="Calibri" w:hAnsi="Calibri"/>
                <w:sz w:val="18"/>
              </w:rPr>
              <w:t>221.2</w:t>
            </w:r>
          </w:p>
        </w:tc>
        <w:tc>
          <w:tcPr>
            <w:tcW w:type="dxa" w:w="1419"/>
          </w:tcPr>
          <w:p>
            <w:pPr>
              <w:jc w:val="right"/>
            </w:pPr>
            <w:r>
              <w:rPr>
                <w:rFonts w:ascii="Calibri" w:hAnsi="Calibri"/>
                <w:sz w:val="18"/>
              </w:rPr>
              <w:t>193.1</w:t>
            </w:r>
          </w:p>
        </w:tc>
        <w:tc>
          <w:tcPr>
            <w:tcW w:type="dxa" w:w="1419"/>
          </w:tcPr>
          <w:p>
            <w:pPr>
              <w:jc w:val="right"/>
            </w:pPr>
            <w:r>
              <w:rPr>
                <w:rFonts w:ascii="Calibri" w:hAnsi="Calibri"/>
                <w:sz w:val="18"/>
              </w:rPr>
              <w:t>254.1</w:t>
            </w:r>
          </w:p>
        </w:tc>
        <w:tc>
          <w:tcPr>
            <w:tcW w:type="dxa" w:w="1419"/>
          </w:tcPr>
          <w:p>
            <w:pPr>
              <w:jc w:val="right"/>
            </w:pPr>
            <w:r>
              <w:rPr>
                <w:rFonts w:ascii="Calibri" w:hAnsi="Calibri"/>
                <w:sz w:val="18"/>
              </w:rPr>
              <w:t>7.01</w:t>
            </w:r>
          </w:p>
        </w:tc>
        <w:tc>
          <w:tcPr>
            <w:tcW w:type="dxa" w:w="1419"/>
          </w:tcPr>
          <w:p>
            <w:pPr>
              <w:jc w:val="right"/>
            </w:pPr>
            <w:r>
              <w:rPr>
                <w:rFonts w:ascii="Calibri" w:hAnsi="Calibri"/>
                <w:sz w:val="18"/>
              </w:rPr>
              <w:t>7.01</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69.6</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13.4</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9.00</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7.92</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0.112</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0.00895</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0.00269</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86.6 % and would not be a decomposition. The input-output share is stable between 69.6 % and 69.8 % across every correlation assumption tested (uncertainty_variance_shares_by_correlation.csv),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09_exiobase_release_diagnostics/dk_block_vs_national_accounts.csv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an Eora MRIO Monte Carlo, transferred from their 2.84 Mt to this study's 4.267 Mt</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from medstat.dk N01AB sales on AR6</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sales x propellant content per dose (Danish EPA F-gas inventory, restated to AR6; the 2019 run uses the EPA's 2019 inventory)</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TU workplace km x health care's share of hours worked (NABB117) x the Dutch commuting intensity per person-km</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patient travel from the Danish travel survey (TU Tabel 15, purpose 33); the VISITOR part alone has no Danish source, carrying the NHS England ratio 0.236 (Tennison 2021)</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