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Read from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14648111"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2, so that the three scopes and patient and visitor travel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2B487653"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470473F6"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5"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We keep the headline on the published column for three reasons. First, no published study alters one purchase column inside a balanced global table; studies that distrust a database recipe replace the final demand vector, rebuild the whole country block from national accounts, or state the limitation, and Statistics Denmark’s own answer to the Danish block’s defects was a coupled national model [28]. Second, at the Chemicals n.e.c. intensity the correction fails a structural test, because pharmaceuticals and chemical products would then carry 78% of blue water consumption, against 42.9% in the Dutch results [13]. Third, at a pharmaceutical-specific intensity of about one third of the chemicals intensity for climate change, as reported for the Netherlands [13,17], the correction reverses sign, so it bounds the climate footprint between 3,933 and 5,635 kt CO₂e rather than identifying it.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534DD7F2"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69ACF4B9"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2026-10-22T01:22:09Z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