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w:t>
        </w:r>
        <w:r>
          <w:t xml:space="preserve"> and ranked</w:t>
        </w:r>
        <w:r>
          <w:t xml:space="preserve">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w:t>
        </w:r>
        <w:r>
          <w:t xml:space="preserve">Supply-chain transport contributed 13.3% of the climate footprint, compared to 29.7% before correcting EXIOBASE’s allocation of 74% of Danish sea-transport output to Danish intermediate use, which Statistics Denmark puts at 6.5%.</w:t>
        </w:r>
        <w:r>
          <w:t xml:space="preserve"> </w:t>
        </w:r>
        <w:r>
          <w:t xml:space="preserve">Most blue</w:t>
        </w:r>
        <w:r>
          <w:t xml:space="preserve"> water consumption and land use occurred </w:t>
        </w:r>
        <w:r>
          <w:t xml:space="preserve">outside Denmark and Europe. </w:t>
        </w:r>
        <w:r>
          <w:t xml:space="preserve">The input-output data accounted for 69.6% of the climate footprint’s variance.</w:t>
        </w:r>
        <w:r>
          <w:t xml:space="preserve">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w:t>
        </w:r>
        <w:r>
          <w:t xml:space="preserve">the countries of the Organisation for Economic Co-operation and Development (</w:t>
        </w:r>
        <w:r>
          <w:t xml:space="preserve">OECD</w:t>
        </w:r>
        <w:r>
          <w:t xml:space="preserve">),</w:t>
        </w:r>
        <w:r>
          <w:t xml:space="preserve"> health care demand accounted for an estimated 4.4% of demand-based greenhouse gas emissions in 2018, with close to four-fifths of </w:t>
        </w:r>
        <w:r>
          <w:t xml:space="preserve">those emissions</w:t>
        </w:r>
        <w:r>
          <w:t xml:space="preserve">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t>
        </w:r>
        <w:r>
          <w:t xml:space="preserve">water,</w:t>
        </w:r>
        <w:r>
          <w:t xml:space="preserv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w:t>
        </w:r>
        <w:r>
          <w:t xml:space="preserve">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w:t>
        </w:r>
        <w:r>
          <w:t xml:space="preserve">choice, because</w:t>
        </w:r>
        <w:r>
          <w:t xml:space="preserv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t>
        </w:r>
        <w:r>
          <w:t xml:space="preserve">waste</w:t>
        </w:r>
        <w:r>
          <w:t xml:space="preserve">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w:t>
        </w:r>
        <w:r>
          <w:t xml:space="preserve">comparisons</w:t>
        </w:r>
        <w:r>
          <w:t xml:space="preserve"> of</w:t>
        </w:r>
        <w:r>
          <w:t xml:space="preserve"> health care </w:t>
        </w:r>
        <w:r>
          <w:t xml:space="preserve">footprints.</w:t>
        </w:r>
        <w:r>
          <w:t xml:space="preserve"> Comparative EE-MRIO studies have estimated the Danish health care greenhouse gas </w:t>
        </w:r>
        <w:r>
          <w:t xml:space="preserve">or carbon dioxide </w:t>
        </w:r>
        <w:r>
          <w:t xml:space="preserve">footprint </w:t>
        </w:r>
        <w:r>
          <w:t xml:space="preserve">[1,6,18</w:t>
        </w:r>
        <w:r>
          <w:t xml:space="preserve">]; Danish regional and </w:t>
        </w:r>
        <w:r>
          <w:t xml:space="preserve">World Health Organization (</w:t>
        </w:r>
        <w:r>
          <w:t xml:space="preserve">WHO</w:t>
        </w:r>
        <w:r>
          <w:t xml:space="preserve">)</w:t>
        </w:r>
        <w:r>
          <w:t xml:space="preserve"> Europe policy documents point to </w:t>
        </w:r>
        <w:r>
          <w:t xml:space="preserve">procurement,</w:t>
        </w:r>
        <w:r>
          <w:t xml:space="preserve"> including pharmaceuticals, energy and </w:t>
        </w:r>
        <w:r>
          <w:t xml:space="preserve">transport,</w:t>
        </w:r>
        <w:r>
          <w:t xml:space="preserve"> as areas for action [19,20]; and a Danish regional inventory attributed about 80% of its 2020 emissions to purchased goods and services [21]. Health care </w:t>
        </w:r>
        <w:r>
          <w:t xml:space="preserve">is </w:t>
        </w:r>
        <w:r>
          <w:t xml:space="preserve">also </w:t>
        </w:r>
        <w:r>
          <w:t xml:space="preserve">economically large,</w:t>
        </w:r>
        <w:r>
          <w:t xml:space="preserve"> about 9.4% of gross domestic product in Denmark in 2024 [22]</w:t>
        </w:r>
        <w:r>
          <w:t xml:space="preserve">, so the footprint of its demand matters at national scale.</w:t>
        </w:r>
        <w:r>
          <w:t xml:space="preserve"> None of this work provides a Denmark-specific national account that links detailed Danish health care demand to several environmental indicators at once and traces where the associated upstream pressures occur. This absence matters beyond </w:t>
        </w:r>
        <w:r>
          <w:t xml:space="preserve">coverage, because</w:t>
        </w:r>
        <w:r>
          <w:t xml:space="preserve"> evidence from other health systems shows that non-climate pressures concentrate in different supply chains and different regions from greenhouse gases [</w:t>
        </w:r>
        <w:r>
          <w:t xml:space="preserve">13,16</w:t>
        </w:r>
        <w:r>
          <w:t xml:space="preserve">],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w:t>
        </w:r>
        <w:r>
          <w:t xml:space="preserve">kilotonnes of carbon dioxide equivalent (</w:t>
        </w:r>
        <w:r>
          <w:t xml:space="preserve">kt CO₂e</w:t>
        </w:r>
        <w:r>
          <w:t xml:space="preserve">)</w:t>
        </w:r>
        <w:r>
          <w:t xml:space="preserv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w:t>
        </w:r>
        <w:r>
          <w:t xml:space="preserve">not elsewhere classified (n.e.c.),</w:t>
        </w:r>
        <w:r>
          <w:t xml:space="preserve">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w:t>
        </w:r>
        <w:r>
          <w:t xml:space="preserve"> study’s</w:t>
        </w:r>
        <w:r>
          <w:t xml:space="preserve"> contribution is </w:t>
        </w:r>
        <w:r>
          <w:t xml:space="preserve">diagnostic. It provides</w:t>
        </w:r>
        <w:r>
          <w:t xml:space="preserve"> a multi-impact, consumption-based and geographically explicit account of where the pressures associated with Danish health care arise, and therefore of where closer assessment and mitigation analysis would repay the </w:t>
        </w:r>
        <w:r>
          <w:t xml:space="preserve">effort, but it</w:t>
        </w:r>
        <w:r>
          <w:t xml:space="preserve">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w:t>
        </w:r>
        <w:r>
          <w:t xml:space="preserve">poorly, which</w:t>
        </w:r>
        <w:r>
          <w:t xml:space="preserve">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w:t>
        </w:r>
        <w:r>
          <w:t xml:space="preserve">Appendix A (</w:t>
        </w:r>
        <w:r>
          <w:t xml:space="preserve">Table </w:t>
        </w:r>
        <w:r>
          <w:t xml:space="preserve">A.1).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w:t>
        </w:r>
        <w:r>
          <w:t xml:space="preserve"> with</w:t>
        </w:r>
        <w:r>
          <w:t xml:space="preserve">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w:t>
        </w:r>
        <w:r>
          <w:t xml:space="preserve">(NPISH) </w:t>
        </w:r>
        <w:r>
          <w:t xml:space="preserve">and general government for the purposes listed in Appendix A (Health care final demand; Fig. A.1)</w:t>
        </w:r>
        <w:r>
          <w:t xml:space="preserve">. It was</w:t>
        </w:r>
        <w:r>
          <w:t xml:space="preserve"> converted to euros at the </w:t>
        </w:r>
        <w:r>
          <w:t xml:space="preserve">annual average</w:t>
        </w:r>
        <w:r>
          <w:t xml:space="preserve"> exchange</w:t>
        </w:r>
        <w:r>
          <w:t xml:space="preserve"> rate of </w:t>
        </w:r>
        <w:r>
          <w:t xml:space="preserve">7.44</w:t>
        </w:r>
        <w:r>
          <w:t xml:space="preserve"> kroner per euro. Basic prices exclude </w:t>
        </w:r>
        <w:r>
          <w:t xml:space="preserve">value added tax (</w:t>
        </w:r>
        <w:r>
          <w:t xml:space="preserve">VAT</w:t>
        </w:r>
        <w:r>
          <w:t xml:space="preserve">)</w:t>
        </w:r>
        <w:r>
          <w:t xml:space="preserve">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The</w:t>
        </w:r>
        <w:r>
          <w:t xml:space="preserve"> 2022 EXIOBASE table </w:t>
        </w:r>
        <w:r>
          <w:t xml:space="preserve">is, however,</w:t>
        </w:r>
        <w:r>
          <w:t xml:space="preserve"> a </w:t>
        </w:r>
        <w:r>
          <w:t xml:space="preserve">projection</w:t>
        </w:r>
        <w:r>
          <w:t xml:space="preserve"> compiled in September </w:t>
        </w:r>
        <w:r>
          <w:t xml:space="preserve">2021, before</w:t>
        </w:r>
        <w:r>
          <w:t xml:space="preserve"> 2022 statistics</w:t>
        </w:r>
        <w:r>
          <w:t xml:space="preserve"> existed</w:t>
        </w:r>
        <w:r>
          <w:t xml:space="preserve">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w:t>
        </w:r>
        <w:r>
          <w:t xml:space="preserve">First, EXIOBASE allocates 74% of Danish sea-transport output to Danish intermediate use, compared to 6.5% in Statistics Denmark’s domestic table for 2022, and so loads international shipping onto every Danish purchaser. We reallocated the excess to exports and credited the input it replaced to the buying industries’ net operating surplus, so that the gross output of every industry is unchanged; the target share is read from the Danish table for each background year</w:t>
        </w:r>
        <w:r>
          <w:t xml:space="preserve"> (</w:t>
        </w:r>
        <w:r>
          <w:t xml:space="preserve">7.7%</w:t>
        </w:r>
        <w:r>
          <w:t xml:space="preserve"> for the 2016 table, which the 2016 and 2019 runs share, and </w:t>
        </w:r>
        <w:r>
          <w:t xml:space="preserve">6.5%</w:t>
        </w:r>
        <w:r>
          <w:t xml:space="preserve"> for 2022). </w:t>
        </w:r>
        <w:r>
          <w:t xml:space="preserve">Applied to</w:t>
        </w:r>
        <w:r>
          <w:t xml:space="preserve"> the 2019 table, the same procedure returns </w:t>
        </w:r>
        <w:r>
          <w:t xml:space="preserve">9.3%,</w:t>
        </w:r>
        <w:r>
          <w:t xml:space="preserve">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w:t>
        </w:r>
        <w:r>
          <w:t xml:space="preserve">out. For</w:t>
        </w:r>
        <w:r>
          <w:t xml:space="preserve"> the other three </w:t>
        </w:r>
        <w:r>
          <w:t xml:space="preserve">indicators, the operational term</w:t>
        </w:r>
        <w:r>
          <w:t xml:space="preserve">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w:t>
        </w:r>
        <w:r>
          <w:t xml:space="preserve">apart from computer rounding.</w:t>
        </w:r>
        <w:r>
          <w:t xml:space="preserve"> The</w:t>
        </w:r>
        <w:r>
          <w:t xml:space="preserv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1946E472"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w:t>
        </w:r>
        <w:r>
          <w:t xml:space="preserve">added: anaesthetic gases, inhaler propellants, employee commuting, and patient and visitor travel.</w:t>
        </w:r>
        <w:r>
          <w:t xml:space="preserve">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w:t>
        </w:r>
        <w:r>
          <w:rPr>
            <w:highlight w:val="yellow"/>
          </w:rPr>
          <w:t xml:space="preserve"> the inventory does not separate these users, the </w:t>
        </w:r>
        <w:r>
          <w:rPr>
            <w:highlight w:val="yellow"/>
          </w:rPr>
          <w:t xml:space="preserve">term (</w:t>
        </w:r>
        <w:r>
          <w:rPr>
            <w:highlight w:val="yellow"/>
          </w:rPr>
          <w:t xml:space="preserve">10.4 kt </w:t>
        </w:r>
        <w:r>
          <w:rPr>
            <w:highlight w:val="yellow"/>
          </w:rPr>
          <w:t xml:space="preserve">CO₂e,</w:t>
        </w:r>
        <w:r>
          <w:rPr>
            <w:highlight w:val="yellow"/>
          </w:rPr>
          <w:t xml:space="preserve"> 0.24% of the climate </w:t>
        </w:r>
        <w:r>
          <w:rPr>
            <w:highlight w:val="yellow"/>
          </w:rPr>
          <w:t xml:space="preserve">footprint)</w:t>
        </w:r>
        <w:r>
          <w:rPr>
            <w:highlight w:val="yellow"/>
          </w:rPr>
          <w:t xml:space="preserve"> is an upper bound for health care.</w:t>
        </w:r>
      </w:ins>
      <w:ins w:id="13878" w:author="Albert Kwame Osei-Owusu" w:date="2026-09-14T09:00:00Z">
        <w:r>
          <w:t xml:space="preserve"> Volatile anaesthetics were derived from sales of </w:t>
        </w:r>
        <w:r>
          <w:t xml:space="preserve">Anatomical Therapeutic Chemical (</w:t>
        </w:r>
        <w:r>
          <w:t xml:space="preserve">ATC</w:t>
        </w:r>
        <w:r>
          <w:t xml:space="preserve">)</w:t>
        </w:r>
        <w:r>
          <w:t xml:space="preserve">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w:t>
        </w:r>
        <w:r>
          <w:t xml:space="preserve">fluorinated gas (</w:t>
        </w:r>
        <w:r>
          <w:t xml:space="preserve">F-gas</w:t>
        </w:r>
        <w:r>
          <w:t xml:space="preserve">)</w:t>
        </w:r>
        <w:r>
          <w:t xml:space="preserve"> inventory </w:t>
        </w:r>
      </w:ins>
      <w:ins w:id="13885" w:author="Albert Kwame Osei-Owusu" w:date="2026-09-14T09:00:00Z">
        <w:r>
          <w:rPr>
            <w:highlight w:val="yellow"/>
          </w:rPr>
          <w:t xml:space="preserve">[34]</w:t>
        </w:r>
      </w:ins>
      <w:ins w:id="13886" w:author="Albert Kwame Osei-Owusu" w:date="2026-09-14T09:00:00Z">
        <w:r>
          <w:t xml:space="preserve">. </w:t>
        </w:r>
        <w:r>
          <w:t xml:space="preserve">All gases were characterised on the 100-year global warming potentials (GWP100) of the Sixth Assessment Report (AR6) of the Intergovernmental Panel on Climate Change (IPCC) [35,36], with the inhaler emissions restated from the values of the Fourth Assessment Report (AR4) that the inventory uses.</w:t>
        </w:r>
      </w:ins>
      <w:ins w:id="13888" w:author="Albert Kwame Osei-Owusu" w:date="2026-09-14T09:00:00Z">
        <w:r>
          <w:t xml:space="preserve">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r>
          <w:rPr>
            <w:highlight w:val="yellow"/>
          </w:rPr>
          <w:t xml:space="preserve">. Patient</w:t>
        </w:r>
      </w:ins>
      <w:ins w:id="13894" w:author="Albert Kwame Osei-Owusu" w:date="2026-09-14T09:00:00Z">
        <w:r>
          <w:t xml:space="preserve"> and visitor travel uses the survey’s trips for health and social purposes, 0.8 km per person per day, with visitor travel added at the ratio of visitor to patient travel </w:t>
        </w:r>
        <w:r>
          <w:t xml:space="preserve">of the National Health Service </w:t>
        </w:r>
        <w:r>
          <w:t xml:space="preserve">in </w:t>
        </w:r>
        <w:r>
          <w:t xml:space="preserve">England (</w:t>
        </w:r>
        <w:r>
          <w:t xml:space="preserve">NHS England</w:t>
        </w:r>
        <w:r>
          <w:t xml:space="preserve">)</w:t>
        </w:r>
        <w:r>
          <w:t xml:space="preserve">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w:t>
        </w:r>
        <w:r>
          <w:t xml:space="preserve">zero</w:t>
        </w:r>
        <w:r>
          <w:t xml:space="preserv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t>
        </w:r>
        <w:r>
          <w:t xml:space="preserve">whose geometric standard deviation we set by judgement according to the kind of source. The input-output coefficients take the relative standard deviation of 8.35% published for the Danish health care carbon footprint [2], which we apply to all five categories; national accounts</w:t>
        </w:r>
      </w:ins>
      <w:ins w:id="2939" w:author="Albert Kwame Osei-Owusu" w:date="2026-09-13T09:00:00Z">
        <w:r>
          <w:t xml:space="preserve">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w:t>
        </w:r>
        <w:r>
          <w:t xml:space="preserve">(the pharmaceutical mapping, the composition of the services purchases, the valuation of distribution margins, the sea-transport target share, the health care boundary, </w:t>
        </w:r>
        <w:r>
          <w:t xml:space="preserve">the </w:t>
        </w:r>
        <w:r>
          <w:t xml:space="preserve">capital treatment and the GWP revision) are reported as sensitivity cases alongside the interval (Appendix A, Sensitivity; each case in Table A.7).</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w:t>
        </w:r>
        <w:r>
          <w:t xml:space="preserve">AR6 GWP100 </w:t>
        </w:r>
        <w:r>
          <w:t xml:space="preserve">values </w:t>
        </w:r>
      </w:ins>
      <w:ins w:id="2928" w:author="Albert Kwame Osei-Owusu" w:date="2026-09-13T09:00:00Z">
        <w:r>
          <w:rPr>
            <w:highlight w:val="yellow"/>
          </w:rPr>
          <w:t xml:space="preserve">[35,36]</w:t>
        </w:r>
        <w:r>
          <w:rPr>
            <w:highlight w:val="yellow"/>
          </w:rPr>
          <w:t xml:space="preserve">. For the input-output component, these were</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w:t>
        </w:r>
        <w:r>
          <w:t xml:space="preserve">The operational term keeps the values of the Fifth Assessment Report (AR5) used in Statistics Denmark’s accounts, and the travel terms keep the characterisation of the Dutch inventory from which they are scaled. </w:t>
        </w:r>
        <w:r>
          <w:t xml:space="preserve">Material extraction (used domestic extraction, kt), blue water consumption (</w:t>
        </w:r>
        <w:r>
          <w:t xml:space="preserve">million cubic metres, </w:t>
        </w:r>
        <w:r>
          <w:t xml:space="preserve">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w:t>
        </w:r>
        <w:r>
          <w:t xml:space="preserve">European Union (</w:t>
        </w:r>
        <w:r>
          <w:t xml:space="preserve">EU</w:t>
        </w:r>
        <w:r>
          <w:t xml:space="preserve">)</w:t>
        </w:r>
        <w:r>
          <w:t xml:space="preserve">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w:t>
        </w:r>
        <w:r>
          <w:t xml:space="preserve">total. For</w:t>
        </w:r>
        <w:r>
          <w:t xml:space="preserve">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w:t>
        </w:r>
        <w:r>
          <w:t xml:space="preserve">Greenhouse gas emissions are also partitioned following the Greenhouse Gas (GHG) Protocol [44], within the input-output scope framework of Hertwich and Wood [45]. Scope 1 is the DRIVHUS term plus anaesthetic gases. Scope 2 comprises the emissions from generating the electricity and heat the health sector buys, traced through transmission and distribution within the energy block (Appendix A, Eq. (A.16)); this is the corporate standard’s boundary, narrower than Hertwich and Wood’s embodied-energy convention. Scope 3 is the remainder, computed as the partition total minus Scopes 1 and </w:t>
        </w:r>
        <w:r>
          <w:t xml:space="preserve">2</w:t>
        </w:r>
        <w:r>
          <w:t xml:space="preserve"> and patient and visitor </w:t>
        </w:r>
        <w:r>
          <w:t xml:space="preserve">travel, so that the four parts</w:t>
        </w:r>
        <w:r>
          <w:t xml:space="preserve"> sum to that total without double counting, which we verified with the target-sector method of Cabernard and colleagues [46] (Appendix A, Double counting).</w:t>
        </w:r>
      </w:ins>
      <w:ins w:id="2290" w:author="Albert Kwame Osei-Owusu" w:date="2026-09-13T09:00:00Z">
        <w:r>
          <w:t xml:space="preserve">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w:t>
        </w:r>
        <w:r>
          <w:t xml:space="preserve">A.5</w:t>
        </w:r>
        <w:r>
          <w:t xml:space="preserve">) and compared with published Danish footprints in Appendix A (Validation against published Danish </w:t>
        </w:r>
        <w:r>
          <w:t xml:space="preserve">footprints</w:t>
        </w:r>
        <w:r>
          <w:t xml:space="preserve">).</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w:t>
        </w:r>
        <w:r>
          <w:t xml:space="preserve">capital use </w:t>
        </w:r>
        <w:r>
          <w:t xml:space="preserve">matrices</w:t>
        </w:r>
        <w:r>
          <w:t xml:space="preserve"> of Wood and Södersten [47], built by the method</w:t>
        </w:r>
        <w:r>
          <w:t xml:space="preserve"> of Södersten and colleagues [15], estimate what the capital exclusion leaves out (Appendix A, Gross fixed capital formation, Eq. (A.18))</w:t>
        </w:r>
        <w:r>
          <w:t xml:space="preserve">. A</w:t>
        </w:r>
        <w:r>
          <w:t xml:space="preserve"> test that re-weights the services purchases to the input mix of the Danish health industries in Statistics Denmark’s table estimates what EXIOBASE’s purchase column leaves out (Appendix A, Sensitivity).</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52480" w:author="Albert Kwame Osei-Owusu" w:date="2026-10-21T20:00:00Z">
        <w:r>
          <w:t xml:space="preserve">Danish health care accounted for between 2.1% and 6.5% of the national footprint in each of the five impact categories.</w:t>
        </w:r>
      </w:ins>
      <w:ins w:id="2901" w:author="Albert Kwame Osei-Owusu" w:date="2026-09-13T09:00:00Z">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w:t>
        </w:r>
        <w:r>
          <w:t xml:space="preserve">Material extraction amounted to 3,498 kt (95% interval 2,974 to 4,119 kt; 6.5% of the national footprint), blue water consumption to 75 </w:t>
        </w:r>
        <w:r>
          <w:t xml:space="preserve">Mm³</w:t>
        </w:r>
        <w:r>
          <w:t xml:space="preserve"> (</w:t>
        </w:r>
        <w:r>
          <w:t xml:space="preserve">64</w:t>
        </w:r>
        <w:r>
          <w:t xml:space="preserve"> to </w:t>
        </w:r>
        <w:r>
          <w:t xml:space="preserve">88</w:t>
        </w:r>
        <w:r>
          <w:t xml:space="preserve"> Mm³; 5.9%), land use to 4,118 km² (3,495 to 4,852 km²; 4.1%) and waste generation to 221 kt (193 to 254 kt; 2.1%).</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del w:id="52436" w:author="Albert Kwame Osei-Owusu" w:date="2026-10-21T20:00:00Z">
              <w:r>
                <w:delText xml:space="preserve">chemical</w:delText>
              </w:r>
            </w:del>
            <w:ins w:id="52437" w:author="Albert Kwame Osei-Owusu" w:date="2026-10-21T20:00:00Z">
              <w:r>
                <w:t xml:space="preserve">other medical</w:t>
              </w:r>
            </w:ins>
            <w:r>
              <w:t xml:space="preserve">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n.a.</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n.a.</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n.a.</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n.a.</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n.a.</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n.a.</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n.a.</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n.a.</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n.a.</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n.a.</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n.a.</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n.a.</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n.a.</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n.a.</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n.a.</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n.a.</w:t>
              </w:r>
            </w:ins>
          </w:p>
        </w:tc>
      </w:tr>
    </w:tbl>
    <w:p>
      <w:pPr>
        <w:pStyle w:val="TableNote"/>
        <w:rPr>
          <w:ins w:id="51326" w:author="Albert Kwame Osei-Owusu" w:date="2026-09-14T16:00:00Z"/>
        </w:rPr>
      </w:pPr>
      <w:ins w:id="51327" w:author="Albert Kwame Osei-Owusu" w:date="2026-09-14T16:00:00Z">
        <w:r>
          <w:t xml:space="preserve">Top-down </w:t>
        </w:r>
        <w:r>
          <w:t xml:space="preserve">environmentally extended multi-regional input-output (</w:t>
        </w:r>
        <w:r>
          <w:t xml:space="preserve">EE-MRIO</w:t>
        </w:r>
        <w:r>
          <w:t xml:space="preserve">)</w:t>
        </w:r>
        <w:r>
          <w:t xml:space="preserve"> estimates (EXIOBASE version 3.8.2) are combined with bottom-up contributions for anaesthetic gases, pressurised metered-dose inhalers and private travel (employee commuting and patient and visitor travel). Percentages are shares of the health care total in each column; n.a.,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w:t>
        </w:r>
        <w:r>
          <w:rPr/>
          <w:t xml:space="preserve">production</w:t>
        </w:r>
        <w:r>
          <w:rPr/>
          <w:t xml:space="preserve"> and </w:t>
        </w:r>
        <w:r>
          <w:rPr/>
          <w:t xml:space="preserve">waste disposal</w:t>
        </w:r>
        <w:r>
          <w:rPr/>
          <w:t xml:space="preserv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w:t>
        </w:r>
        <w:r>
          <w:rPr/>
          <w:t xml:space="preserve">environmentally extended multi-regional input-output (</w:t>
        </w:r>
        <w:r>
          <w:rPr/>
          <w:t xml:space="preserve">EE-MRIO</w:t>
        </w:r>
        <w:r>
          <w:rPr/>
          <w:t xml:space="preserve">)</w:t>
        </w:r>
        <w:r>
          <w:rPr/>
          <w:t xml:space="preserve">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w:t>
        </w:r>
        <w:r>
          <w:t xml:space="preserve">56.9% (</w:t>
        </w:r>
        <w:r>
          <w:t xml:space="preserve">2,429 kt </w:t>
        </w:r>
        <w:r>
          <w:t xml:space="preserve">CO₂e)</w:t>
        </w:r>
        <w:r>
          <w:t xml:space="preserve"> of the climate footprint (Table </w:t>
        </w:r>
        <w:r>
          <w:t xml:space="preserve">1</w:t>
        </w:r>
        <w:r>
          <w:t xml:space="preserve">; absolute values by activity group, producing sector group and region in Appendix A, Tables </w:t>
        </w:r>
        <w:r>
          <w:t xml:space="preserve">A.2</w:t>
        </w:r>
        <w:r>
          <w:t xml:space="preserve"> to </w:t>
        </w:r>
        <w:r>
          <w:t xml:space="preserve">A.4</w:t>
        </w:r>
        <w:r>
          <w:t xml:space="preserve">). Anaesthetic gases and inhaler propellants, added from bottom-up data, contributed </w:t>
        </w:r>
        <w:r>
          <w:t xml:space="preserve">0.6% (24.3 kt CO₂e).</w:t>
        </w:r>
        <w:r>
          <w:t xml:space="preserve"> </w:t>
        </w:r>
        <w:r>
          <w:t xml:space="preserve">Bottom-up estimates for commuting and patient and visitor travel accounted for 16.6% (708 kt CO₂e), the most uncertain </w:t>
        </w:r>
        <w:r>
          <w:t xml:space="preserve">activity group</w:t>
        </w:r>
        <w:r>
          <w:t xml:space="preserve"> in the study (coefficient of variation 25.8%, compared to 8.3% to 9.1% for every other contribution group; Appendix A, Fig. A.14), and ranked first, second and third among the activity groups in 3.4%, 30.9% and 46% of the simulation draws, respectively.</w:t>
        </w:r>
        <w:r>
          <w:t xml:space="preserve"> Among the activity groups, pharmaceuticals and chemical products were the largest contributor, </w:t>
        </w:r>
        <w:r>
          <w:t xml:space="preserve">accounting for</w:t>
        </w:r>
        <w:r>
          <w:t xml:space="preserve"> 27.1% </w:t>
        </w:r>
        <w:r>
          <w:t xml:space="preserve">(1,154 kt CO₂e; </w:t>
        </w:r>
        <w:r>
          <w:t xml:space="preserve">95% interval 24.2% to 29%)</w:t>
        </w:r>
        <w:r>
          <w:t xml:space="preserve"> of the climate footprint,</w:t>
        </w:r>
        <w:r>
          <w:t xml:space="preserve">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w:t>
        </w:r>
        <w:r>
          <w:t xml:space="preserve">categories, with</w:t>
        </w:r>
        <w:r>
          <w:t xml:space="preserve"> 27.1% of the climate footprint, 41.5% of material extraction, 49.1% of blue water consumption and 28.6% of waste </w:t>
        </w:r>
        <w:r>
          <w:t xml:space="preserve">generation (Fig. 1A).</w:t>
        </w:r>
        <w:r>
          <w:t xml:space="preserve">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del w:id="52481" w:author="Albert Kwame Osei-Owusu" w:date="2026-10-21T20:00:00Z">
        <w:r w:rsidR="00C9372E">
          <w:delText>impacts</w:delText>
        </w:r>
      </w:del>
      <w:ins w:id="52482" w:author="Albert Kwame Osei-Owusu" w:date="2026-10-21T20:00:00Z">
        <w:r>
          <w:t xml:space="preserve">Each impact is attributed to the upstream sector and world region where it physically occurs (Figs. 1B and 1C), and the two are resolved together</w:t>
        </w:r>
      </w:ins>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as producing region-by-industry </w:t>
        </w:r>
        <w:r>
          <w:t xml:space="preserve">pairs (Fig. 2).</w:t>
        </w:r>
        <w:r>
          <w:t xml:space="preserve">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6F2F9664"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w:t>
        </w:r>
        <w:r>
          <w:t xml:space="preserve">compared to</w:t>
        </w:r>
        <w:r>
          <w:t xml:space="preserve"> 34.1% before the Danish sea-transport allocation was </w:t>
        </w:r>
        <w:r>
          <w:t xml:space="preserve">corrected, when the climate footprint was 5,688 kt CO₂e</w:t>
        </w:r>
        <w:r>
          <w:t xml:space="preserve"> (Fig. 1B)</w:t>
        </w:r>
        <w:r>
          <w:t xml:space="preserve">; by purchase, supply-chain transport accounted for 13.3%, compared to 29.7% before the correction.</w:t>
        </w:r>
        <w:r>
          <w:t xml:space="preserve"> The fossil fuel industry followed with 13.3%, agriculture with 12.4%, electricity with 8.4% and the pharmaceutical and chemical industry with </w:t>
        </w:r>
        <w:r>
          <w:t xml:space="preserve">7.5%. Services accounted</w:t>
        </w:r>
        <w:r>
          <w:t xml:space="preserve"> for 6.3%, heat and water supply for </w:t>
        </w:r>
        <w:r>
          <w:t xml:space="preserve">5.5%,</w:t>
        </w:r>
        <w:r>
          <w:t xml:space="preserve"> waste management for 4.8%, the sector’s own operations for 3.1% and mining for 2.3%, leaving 4.3% in the remaining sectors. The pharmaceutical and chemical industry </w:t>
        </w:r>
        <w:r>
          <w:t xml:space="preserve">accounted for</w:t>
        </w:r>
        <w:r>
          <w:t xml:space="preserve"> much less than the 27.1% of Fig. 1A because only 23.9% of the climate emissions behind the pharmaceutical and chemical purchases </w:t>
        </w:r>
        <w:r>
          <w:t xml:space="preserve">occurred</w:t>
        </w:r>
        <w:r>
          <w:t xml:space="preserve"> in chemical plants; </w:t>
        </w:r>
        <w:r>
          <w:t xml:space="preserve">most of </w:t>
        </w:r>
        <w:r>
          <w:t xml:space="preserve">the rest </w:t>
        </w:r>
        <w:r>
          <w:t xml:space="preserve">arose</w:t>
        </w:r>
        <w:r>
          <w:t xml:space="preserv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5C973054" w14:textId="77777777">
      <w:pPr>
        <w:spacing w:after="160"/>
        <w:rPr>
          <w:ins w:id="52419" w:author="Albert Kwame Osei-Owusu" w:date="2026-10-21T20:00:00Z"/>
        </w:rPr>
      </w:pPr>
      <w:ins w:id="52426" w:author="Albert Kwame Osei-Owusu" w:date="2026-10-21T20:00:00Z">
        <w:r>
          <w:t xml:space="preserve">Each region-by-industry pair, such as quarrying of sand and clay in Denmark, is shown with its share of the input-output component of the category (Fig. 2; every region</w:t>
        </w:r>
      </w:ins>
      <w:ins w:id="52420" w:author="Albert Kwame Osei-Owusu" w:date="2026-10-21T20:00:00Z">
        <w:r>
          <w:t xml:space="preserve"> by producing sector group in Appendix A, Fig. A.6). </w:t>
        </w:r>
        <w:r>
          <w:t xml:space="preserve">The five categories differed markedly in how concentrated they were.</w:t>
        </w:r>
        <w:r>
          <w:t xml:space="preserve"> </w:t>
        </w:r>
        <w:r>
          <w:t xml:space="preserve">Material extraction had one dominant </w:t>
        </w:r>
        <w:r>
          <w:t xml:space="preserve">industry,</w:t>
        </w:r>
        <w:r>
          <w:t xml:space="preserve"> quarrying of sand and clay, which accounted for 64% of material extraction across the twenty largest pairs and the Danish node alone for 43%. That share rests on small purchases of a cheap material, because the health services’ own purchases of Danish sand and clay, 5.7 million euros at about 7 euros a tonne, corresponded to 0.86 Mt,</w:t>
        </w:r>
        <w:r>
          <w:t xml:space="preserve"> and the production of the chemicals that stand in for medicines to a further 0.42 Mt (Appendix A, Producing region by industry). </w:t>
        </w:r>
        <w:r>
          <w:t xml:space="preserve">Livestock</w:t>
        </w:r>
        <w:r>
          <w:t xml:space="preserve"> was </w:t>
        </w:r>
        <w:r>
          <w:t xml:space="preserve">the largest source of land use, with</w:t>
        </w:r>
        <w:r>
          <w:t xml:space="preserve"> cattle farming </w:t>
        </w:r>
        <w:r>
          <w:t xml:space="preserve">contributing</w:t>
        </w:r>
        <w:r>
          <w:t xml:space="preserve"> 20% and raw milk a further 11%, spread across every world region. Blue water consumption</w:t>
        </w:r>
        <w:r>
          <w:t xml:space="preserve"> was</w:t>
        </w:r>
        <w:r>
          <w:t xml:space="preserve"> traced to irrigated cropping, with wheat at 16%, paddy rice at 10% and sugar cane and beet at 8%, almost all of it in the Middle East and in Asia and the Pacific. Waste generation was the most domestic of the </w:t>
        </w:r>
        <w:r>
          <w:t xml:space="preserve">five, with</w:t>
        </w:r>
        <w:r>
          <w:t xml:space="preserve"> Danish chemicals production </w:t>
        </w:r>
        <w:r>
          <w:t xml:space="preserve">accounting</w:t>
        </w:r>
        <w:r>
          <w:t xml:space="preserve"> for 12% </w:t>
        </w:r>
        <w:r>
          <w:t xml:space="preserve">and Danish waste incineration for a further 15%. Climate change had no dominant </w:t>
        </w:r>
        <w:r>
          <w:t xml:space="preserve">node. Sea</w:t>
        </w:r>
        <w:r>
          <w:t xml:space="preserve"> and coastal water transport contributed 7.5% across four regions, crude petroleum extraction 7% across five, and Danish retail trade, which carries the distribution margins on medicines and appliances, 4.7%, while 67.4% of </w:t>
        </w:r>
        <w:r>
          <w:t xml:space="preserve">that component</w:t>
        </w:r>
        <w:r>
          <w:t xml:space="preserve"> lay outside the twenty largest pairs. </w:t>
        </w:r>
        <w:r>
          <w:t xml:space="preserve">The climate footprint was therefore spread across many small sources, whereas the other four categories were concentrated in a few identifiable industries.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w:t>
        </w:r>
        <w:r>
          <w:rPr/>
          <w:t xml:space="preserve">category’s input-output component.</w:t>
        </w:r>
        <w:r>
          <w:rPr/>
          <w:t xml:space="preserve"> </w:t>
        </w:r>
        <w:r>
          <w:rPr/>
          <w:t xml:space="preserve">Region codes are the three-letter ISO 3166 codes for individual countries and RoW AF, RoW AM, RoW AP, RoW EU and RoW ME for EXIOBASE’s rest-of-world (RoW) regions in Africa, America, Asia and the Pacific, Europe and the Middle East;</w:t>
        </w:r>
        <w:proofErr w:type="spellStart"/>
        <w:proofErr w:type="spellEnd"/>
        <w:proofErr w:type="spellStart"/>
        <w:proofErr w:type="spellEnd"/>
        <w:proofErr w:type="spellStart"/>
        <w:proofErr w:type="spellEnd"/>
        <w:proofErr w:type="spellStart"/>
        <w:proofErr w:type="spellEnd"/>
        <w:proofErr w:type="spellStart"/>
        <w:proofErr w:type="spellEnd"/>
        <w:r>
          <w:rPr/>
          <w:t xml:space="preserve">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w:t>
        </w:r>
        <w:r>
          <w:t xml:space="preserve">Blue water consumption and land use occurred mostly </w:t>
        </w:r>
        <w:r>
          <w:t xml:space="preserve">abroad, with 94.3% and 90.9%, respectively, outside Denmark.</w:t>
        </w:r>
        <w:r>
          <w:t xml:space="preserve"> Of the blue water consumption, 81.1% occurred outside Denmark and Europe, 43.3% in Asia and the Pacific and 25.1% in the Middle East; of the land use, 59.7% lay outside Denmark and Europe, 22.9% in Asia and the Pacific and 21.2% in Africa. Much of this lay in EXIOBASE’s rest-of-world regions, which the database does not resolve by country. The rest of the Middle East and the rest of Asia and the Pacific accounted for 24% and 16.7% of blue water consumption, respectively, and the rest of Africa for 20.9% of land use, whereas the largest individual countries were India (17%) and China (8.2%) for blue water consumption and Russia (5.7%) and Australia (4.4%) for land use.</w:t>
        </w:r>
        <w:r>
          <w:t xml:space="preserve">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 Scope 1 for 131 kt (3.1%), Scope 2 for 73 kt (1.7%), and patient and visitor travel, which falls outside the protocol’s boundary, for 264 kt (6.2%)</w:t>
        </w:r>
        <w:r>
          <w:t xml:space="preserve">. The</w:t>
        </w:r>
        <w:r>
          <w:t xml:space="preserve"> 1.8 kt</w:t>
        </w:r>
        <w:r>
          <w:t xml:space="preserve"> difference from the headline</w:t>
        </w:r>
        <w:r>
          <w:t xml:space="preserve"> is the health sector’s own self-supply loop, </w:t>
        </w:r>
        <w:r>
          <w:t xml:space="preserve">which the headline keeps (0.04%) and the partition removes so that the sector’s own emissions are not counted twice.</w:t>
        </w:r>
        <w:r>
          <w:t xml:space="preserve"> The same partition places essentially all material extraction, blue water consumption and land use in Scope 3, because none of them has a meaningful direct component in a service sector. Waste generation is the </w:t>
        </w:r>
        <w:r>
          <w:t xml:space="preserve">exception, with</w:t>
        </w:r>
        <w:r>
          <w:t xml:space="preserve"> 19.6% </w:t>
        </w:r>
        <w:r>
          <w:t xml:space="preserve">in</w:t>
        </w:r>
        <w:r>
          <w:t xml:space="preserve"> Scope 1, the sector’s own arisings as recorded in Statistics Denmark’s waste accounts, </w:t>
        </w:r>
        <w:r>
          <w:t xml:space="preserve">compared to</w:t>
        </w:r>
        <w:r>
          <w:t xml:space="preserve"> 80.2% </w:t>
        </w:r>
        <w:r>
          <w:t xml:space="preserve">in Scope 3</w:t>
        </w:r>
        <w:r>
          <w:t xml:space="preserve">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w:t>
        </w:r>
        <w:r>
          <w:t xml:space="preserve">almost </w:t>
        </w:r>
        <w:r>
          <w:t xml:space="preserve">none</w:t>
        </w:r>
        <w:r>
          <w:t xml:space="preserve"> (0.4% or less)</w:t>
        </w:r>
        <w:r>
          <w:t xml:space="preserv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w:t>
        </w:r>
        <w:r>
          <w:rPr/>
          <w:t xml:space="preserve">Greenhouse Gas (</w:t>
        </w:r>
        <w:r>
          <w:rPr/>
          <w:t xml:space="preserve">GHG</w:t>
        </w:r>
        <w:r>
          <w:rPr/>
          <w:t xml:space="preserve">)</w:t>
        </w:r>
        <w:r>
          <w:rPr/>
          <w:t xml:space="preserve">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w:t>
        </w:r>
        <w:r>
          <w:rPr/>
          <w:t xml:space="preserve">Scope 1 is the sector’s own emissions from Statistics Denmark’s emission accounts (DRIVHUS) plus the anaesthetic gases, and its own waste from the waste accounts (AFFALD01),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w:t>
        </w:r>
        <w:r>
          <w:t xml:space="preserve">care’s</w:t>
        </w:r>
        <w:r>
          <w:t xml:space="preserve"> 5.5% share of the national climate footprint lies within the range reported internationally, </w:t>
        </w:r>
        <w:r>
          <w:t xml:space="preserve">although the denominators differ. On the Dutch boundary, which includes childcare, the Danish share is 6.5%, compared to 7.3% for the Netherlands [13]. The OECD estimate gives 5.8% for Denmark, including health investment [1]; other studies report 5.4% for the United Kingdom [18] and 4.4% globally [2,18]; and the shares of about 10% in the United States [24] and 7% in Australia [25] are of national emissions and include health investment.</w:t>
        </w:r>
      </w:ins>
      <w:ins w:id="4259" w:author="Albert Kwame Osei-Owusu" w:date="2026-09-14T09:00:00Z">
        <w:r>
          <w:t xml:space="preserve"> Per person, Danish health care emissions of 0.73 t CO₂e per year (all five categories per person in Appendix A, Fig. A.5) are </w:t>
        </w:r>
        <w:r>
          <w:t xml:space="preserve">close to the 0.72 t CO₂e that OECD modelling estimated for Denmark in 2018 [1] and the 0.78 t CO₂e estimated for Denmark in 2014 [18]. The latter lies between the 0.66 t of the United Kingdom and the 0.79 t of the Netherlands in the same estimate, well above the world average of 0.28 t CO₂e, below the 1.72 t CO₂e of the United States and far above the 0.03 t CO₂e of India [18].</w:t>
        </w:r>
      </w:ins>
      <w:ins w:id="4263" w:author="Albert Kwame Osei-Owusu" w:date="2026-09-14T09:00:00Z">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w:t>
        </w:r>
      </w:ins>
      <w:del w:id="52427" w:author="Albert Kwame Osei-Owusu" w:date="2026-10-21T20:00:00Z">
        <w:r>
          <w:delText xml:space="preserve"> </w:delText>
        </w:r>
      </w:del>
      <w:ins w:id="52428" w:author="Albert Kwame Osei-Owusu" w:date="2026-10-21T20:00:00Z">
        <w:r>
          <w:t xml:space="preserve">the electricity bought by health care and its domestic suppliers</w:t>
        </w:r>
      </w:ins>
      <w:del w:id="36938" w:author="Albert Kwame Osei-Owusu" w:date="2026-09-14T09:00:00Z">
        <w:r>
          <w:lastRenderedPageBreak/>
          <w:delText xml:space="preserve">(scope 2)</w:delText>
        </w:r>
      </w:del>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w:t>
      </w:r>
      <w:ins w:id="52429" w:author="Albert Kwame Osei-Owusu" w:date="2026-10-21T20:00:00Z">
        <w:r>
          <w:t xml:space="preserve">9.4% compared to 17.2% of gross domestic product in 2024 [22], </w:t>
        </w:r>
      </w:ins>
      <w:r>
        <w:t xml:space="preserve">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w:t>
        </w:r>
        <w:r>
          <w:t xml:space="preserve">, with</w:t>
        </w:r>
        <w:r>
          <w:t xml:space="preserve"> sectors associated with transport </w:t>
        </w:r>
        <w:r>
          <w:t xml:space="preserve">carrying</w:t>
        </w:r>
        <w:r>
          <w:t xml:space="preserve"> 22% of the carbon dioxide emissions of health care across the countries compared by Pichler and colleagues [6]</w:t>
        </w:r>
        <w:r>
          <w:t xml:space="preserve"> and the transport sector 12% of health-related emissions across the OECD [1].</w:t>
        </w:r>
        <w:r>
          <w:t xml:space="preserve"> Supply-chain transport is less than half the 29.7% that the uncorrected model returns, </w:t>
        </w:r>
        <w:r>
          <w:t xml:space="preserve">because correcting EXIOBASE’s allocation of Danish sea-transport output removes most of the apparent transport dominance (Methods). Health care still buys almost as much from transport as from chemicals, at about half the emission intensity (Appendix A, Table </w:t>
        </w:r>
        <w:r>
          <w:t xml:space="preserve">A.6</w:t>
        </w:r>
        <w:r>
          <w:t xml:space="preserve">), and 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w:t>
        </w:r>
        <w:r>
          <w:rPr>
            <w:highlight w:val="yellow"/>
          </w:rPr>
          <w:t xml:space="preserve">13,17,48</w:t>
        </w:r>
        <w:r>
          <w:rPr>
            <w:highlight w:val="yellow"/>
          </w:rPr>
          <w:t xml:space="preserve">]</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w:t>
        </w:r>
        <w:r>
          <w:t xml:space="preserve">the contribution of pharmaceuticals and chemical products decreases from 1,154 kt to a median of 584 kt, </w:t>
        </w:r>
        <w:r>
          <w:t xml:space="preserve">and services become the largest climate contributor in </w:t>
        </w:r>
        <w:r>
          <w:t xml:space="preserve">60.1%</w:t>
        </w:r>
        <w:r>
          <w:t xml:space="preserve"> of draws (Appendix A, Sensitivity). In the opposite direction, the services purchases omit most of the medicines used in hospitals, whose inclusion would increase the </w:t>
        </w:r>
        <w:r>
          <w:t xml:space="preserve">climate </w:t>
        </w:r>
        <w:r>
          <w:t xml:space="preserve">footprint</w:t>
        </w:r>
        <w:r>
          <w:t xml:space="preserve"> by 32.1%</w:t>
        </w:r>
        <w:r>
          <w:t xml:space="preserve">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52435" w:author="Albert Kwame Osei-Owusu" w:date="2026-10-21T20:00:00Z">
        <w:r>
          <w:t xml:space="preserve">Most of the blue water consumption and land use associated with Danish health care occurred abroad, a pattern documented in other globally traded supply chains,</w:t>
        </w:r>
      </w:ins>
      <w:ins w:id="19906" w:author="Albert Kwame Osei-Owusu" w:date="2026-09-14T09:00:00Z">
        <w:r>
          <w:t xml:space="preserve"> where consumption in one region drives environmental pressure in another, as shown for sulphur and non-CO₂ greenhouse gas emissions embodied in traded photovoltaic products [</w:t>
        </w:r>
        <w:r>
          <w:t xml:space="preserve">49,50</w:t>
        </w:r>
        <w:r>
          <w:t xml:space="preserve">].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r>
          <w:t xml:space="preserve"> Because these pressures arise in other jurisdictions, Danish health authorities can influence them mainly through procurement and engagement with suppliers, so responsibility for them can be seen as shared between the producing countries and the Danish purchasers.</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Scope 1 and Scope 2, the boundary of many institutional climate accounts, cover 4.8% of the climate impact of Danish health care and</w:t>
        </w:r>
        <w:r>
          <w:t xml:space="preserve"> almost</w:t>
        </w:r>
        <w:r>
          <w:t xml:space="preserve"> none of its material, water or land impact, so a target expressed in those terms leaves the great majority of the footprint outside its scope; Danish regional accounts already include purchased goods and services [21]. </w:t>
        </w:r>
        <w:r>
          <w:t xml:space="preserve">The OECD estimate for Denmark places 15% of the footprint in Scope 1 and Scope 2 together [1]. Part of the difference is the purchase column, because EXIOBASE’s Danish health industry spends 1.6% of its purchases on energy, compared to 3.9% in Statistics Denmark’s table; scaling Scope 2 to the national energy share would give roughly 180 kt CO₂e, and Scope 1 and Scope 2 together would then reach about 7% of the footprint. Most of the remaining gap lies in the OECD’s Scope 1, which is modelled from sector intensities rather than read from the Danish emission accounts, and in its 2018 reference year, when Danish electricity was more carbon intensive. The 4.8% reported here is therefore a lower bound set by EXIOBASE’s purchase column rather than by the method.</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w:t>
        </w:r>
        <w:r>
          <w:t xml:space="preserve">1.5%</w:t>
        </w:r>
        <w:r>
          <w:t xml:space="preserve"> and </w:t>
        </w:r>
        <w:r>
          <w:t xml:space="preserve">5.9%,</w:t>
        </w:r>
        <w:r>
          <w:t xml:space="preserve"> in line with nominal health care expenditure. Between 2019 and 2022 the background model also </w:t>
        </w:r>
        <w:r>
          <w:t xml:space="preserve">changed,</w:t>
        </w:r>
        <w:r>
          <w:t xml:space="preserve"> and the categories diverged, largely because of </w:t>
        </w:r>
        <w:r>
          <w:t xml:space="preserve">it. Climate</w:t>
        </w:r>
        <w:r>
          <w:t xml:space="preserve"> change increased by 6.8% and material extraction, blue water consumption and land use by </w:t>
        </w:r>
        <w:r>
          <w:t xml:space="preserve">between 35.9% and 56.8%,</w:t>
        </w:r>
        <w:r>
          <w:t xml:space="preserve"> whereas waste generation decreased by 4%.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w:t>
      </w:r>
      <w:del w:id="52483" w:author="Albert Kwame Osei-Owusu" w:date="2026-10-21T20:00:00Z">
        <w:r>
          <w:delText xml:space="preserve"> In Denmark, centralised procurement actors and EU regulatory frameworks provide </w:delText>
        </w:r>
      </w:del>
      <w:del w:id="911" w:author="Albert Kwame Osei-Owusu" w:date="2026-09-12T09:00:00Z">
        <w:r>
          <w:delText>potential leverage points for</w:delText>
        </w:r>
      </w:del>
      <w:del w:id="52484" w:author="Albert Kwame Osei-Owusu" w:date="2026-10-21T20:00:00Z">
        <w:r>
          <w:delText xml:space="preserve"> integrating environmental criteria into supply chains.</w:delText>
        </w:r>
      </w:del>
      <w:r>
        <w:t xml:space="preserve">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w:t>
        </w:r>
        <w:r>
          <w:t xml:space="preserve">21,51</w:t>
        </w:r>
        <w:r>
          <w:t xml:space="preserve">].</w:t>
        </w:r>
      </w:ins>
      <w:del w:id="52438" w:author="Albert Kwame Osei-Owusu" w:date="2026-10-21T20:00:00Z">
        <w:r>
          <w:delText xml:space="preserve"> </w:delText>
        </w:r>
      </w:del>
      <w:proofErr w:type="spellStart"/>
      <w:ins w:id="920" w:author="Ofir Eriksen" w:date="2026-09-02T14:56:00Z">
        <w:del w:id="52439" w:author="Albert Kwame Osei-Owusu" w:date="2026-10-21T20:00:00Z">
          <w:r w:rsidR="007556B4" w:rsidRPr="007556B4">
            <w:rPr>
              <w:lang w:val="en-GB"/>
            </w:rPr>
            <w:delText>Because</w:delText>
          </w:r>
        </w:del>
        <w:proofErr w:type="spellEnd"/>
        <w:del w:id="52440" w:author="Albert Kwame Osei-Owusu" w:date="2026-10-21T20:00:00Z">
          <w:r w:rsidR="007556B4" w:rsidRPr="007556B4">
            <w:rPr>
              <w:lang w:val="en-GB"/>
            </w:rPr>
            <w:delText xml:space="preserve"> </w:delText>
          </w:r>
        </w:del>
        <w:proofErr w:type="spellStart"/>
        <w:del w:id="52441" w:author="Albert Kwame Osei-Owusu" w:date="2026-10-21T20:00:00Z">
          <w:r w:rsidR="007556B4" w:rsidRPr="007556B4">
            <w:rPr>
              <w:lang w:val="en-GB"/>
            </w:rPr>
            <w:delText>many</w:delText>
          </w:r>
        </w:del>
        <w:proofErr w:type="spellEnd"/>
        <w:del w:id="52442" w:author="Albert Kwame Osei-Owusu" w:date="2026-10-21T20:00:00Z">
          <w:r w:rsidR="007556B4" w:rsidRPr="007556B4">
            <w:rPr>
              <w:lang w:val="en-GB"/>
            </w:rPr>
            <w:delText xml:space="preserve"> </w:delText>
          </w:r>
        </w:del>
        <w:proofErr w:type="spellStart"/>
        <w:del w:id="52443" w:author="Albert Kwame Osei-Owusu" w:date="2026-10-21T20:00:00Z">
          <w:r w:rsidR="007556B4" w:rsidRPr="007556B4">
            <w:rPr>
              <w:lang w:val="en-GB"/>
            </w:rPr>
            <w:delText>environmental</w:delText>
          </w:r>
        </w:del>
        <w:proofErr w:type="spellEnd"/>
        <w:del w:id="52444" w:author="Albert Kwame Osei-Owusu" w:date="2026-10-21T20:00:00Z">
          <w:r w:rsidR="007556B4" w:rsidRPr="007556B4">
            <w:rPr>
              <w:lang w:val="en-GB"/>
            </w:rPr>
            <w:delText xml:space="preserve"> </w:delText>
          </w:r>
        </w:del>
        <w:proofErr w:type="spellStart"/>
        <w:del w:id="52445" w:author="Albert Kwame Osei-Owusu" w:date="2026-10-21T20:00:00Z">
          <w:r w:rsidR="007556B4" w:rsidRPr="007556B4">
            <w:rPr>
              <w:lang w:val="en-GB"/>
            </w:rPr>
            <w:delText>impacts</w:delText>
          </w:r>
        </w:del>
        <w:proofErr w:type="spellEnd"/>
        <w:del w:id="52446" w:author="Albert Kwame Osei-Owusu" w:date="2026-10-21T20:00:00Z">
          <w:r w:rsidR="007556B4" w:rsidRPr="007556B4">
            <w:rPr>
              <w:lang w:val="en-GB"/>
            </w:rPr>
            <w:delText xml:space="preserve"> </w:delText>
          </w:r>
        </w:del>
        <w:proofErr w:type="spellStart"/>
        <w:del w:id="52447" w:author="Albert Kwame Osei-Owusu" w:date="2026-10-21T20:00:00Z">
          <w:r w:rsidR="007556B4" w:rsidRPr="007556B4">
            <w:rPr>
              <w:lang w:val="en-GB"/>
            </w:rPr>
            <w:delText>occur</w:delText>
          </w:r>
        </w:del>
        <w:proofErr w:type="spellEnd"/>
        <w:del w:id="52448" w:author="Albert Kwame Osei-Owusu" w:date="2026-10-21T20:00:00Z">
          <w:r w:rsidR="007556B4" w:rsidRPr="007556B4">
            <w:rPr>
              <w:lang w:val="en-GB"/>
            </w:rPr>
            <w:delText xml:space="preserve"> </w:delText>
          </w:r>
        </w:del>
        <w:proofErr w:type="spellStart"/>
        <w:del w:id="52449" w:author="Albert Kwame Osei-Owusu" w:date="2026-10-21T20:00:00Z">
          <w:r w:rsidR="007556B4" w:rsidRPr="007556B4">
            <w:rPr>
              <w:lang w:val="en-GB"/>
            </w:rPr>
            <w:delText>outside</w:delText>
          </w:r>
        </w:del>
        <w:proofErr w:type="spellEnd"/>
        <w:del w:id="52450" w:author="Albert Kwame Osei-Owusu" w:date="2026-10-21T20:00:00Z">
          <w:r w:rsidR="007556B4" w:rsidRPr="007556B4">
            <w:rPr>
              <w:lang w:val="en-GB"/>
            </w:rPr>
            <w:delText xml:space="preserve"> Danish </w:delText>
          </w:r>
        </w:del>
        <w:proofErr w:type="spellStart"/>
        <w:del w:id="52451" w:author="Albert Kwame Osei-Owusu" w:date="2026-10-21T20:00:00Z">
          <w:r w:rsidR="007556B4" w:rsidRPr="007556B4">
            <w:rPr>
              <w:lang w:val="en-GB"/>
            </w:rPr>
            <w:delText>borders</w:delText>
          </w:r>
        </w:del>
        <w:proofErr w:type="spellEnd"/>
        <w:del w:id="52452" w:author="Albert Kwame Osei-Owusu" w:date="2026-10-21T20:00:00Z">
          <w:r w:rsidR="007556B4" w:rsidRPr="007556B4">
            <w:rPr>
              <w:lang w:val="en-GB"/>
            </w:rPr>
            <w:delText xml:space="preserve">, </w:delText>
          </w:r>
        </w:del>
        <w:proofErr w:type="spellStart"/>
        <w:del w:id="52453" w:author="Albert Kwame Osei-Owusu" w:date="2026-10-21T20:00:00Z">
          <w:r w:rsidR="007556B4" w:rsidRPr="007556B4">
            <w:rPr>
              <w:lang w:val="en-GB"/>
            </w:rPr>
            <w:delText>reducing</w:delText>
          </w:r>
        </w:del>
        <w:proofErr w:type="spellEnd"/>
        <w:del w:id="52454" w:author="Albert Kwame Osei-Owusu" w:date="2026-10-21T20:00:00Z">
          <w:r w:rsidR="007556B4" w:rsidRPr="007556B4">
            <w:rPr>
              <w:lang w:val="en-GB"/>
            </w:rPr>
            <w:delText xml:space="preserve"> the </w:delText>
          </w:r>
        </w:del>
        <w:proofErr w:type="spellStart"/>
        <w:del w:id="52455" w:author="Albert Kwame Osei-Owusu" w:date="2026-10-21T20:00:00Z">
          <w:r w:rsidR="007556B4" w:rsidRPr="007556B4">
            <w:rPr>
              <w:lang w:val="en-GB"/>
            </w:rPr>
            <w:delText>environmental</w:delText>
          </w:r>
        </w:del>
        <w:proofErr w:type="spellEnd"/>
        <w:del w:id="52456" w:author="Albert Kwame Osei-Owusu" w:date="2026-10-21T20:00:00Z">
          <w:r w:rsidR="007556B4" w:rsidRPr="007556B4">
            <w:rPr>
              <w:lang w:val="en-GB"/>
            </w:rPr>
            <w:delText xml:space="preserve"> </w:delText>
          </w:r>
        </w:del>
        <w:proofErr w:type="spellStart"/>
        <w:del w:id="52457" w:author="Albert Kwame Osei-Owusu" w:date="2026-10-21T20:00:00Z">
          <w:r w:rsidR="007556B4" w:rsidRPr="007556B4">
            <w:rPr>
              <w:lang w:val="en-GB"/>
            </w:rPr>
            <w:delText>footprint</w:delText>
          </w:r>
        </w:del>
        <w:proofErr w:type="spellEnd"/>
        <w:del w:id="52458" w:author="Albert Kwame Osei-Owusu" w:date="2026-10-21T20:00:00Z">
          <w:r w:rsidR="007556B4" w:rsidRPr="007556B4">
            <w:rPr>
              <w:lang w:val="en-GB"/>
            </w:rPr>
            <w:delText xml:space="preserve"> of </w:delText>
          </w:r>
        </w:del>
        <w:proofErr w:type="spellStart"/>
        <w:del w:id="52459" w:author="Albert Kwame Osei-Owusu" w:date="2026-10-21T20:00:00Z">
          <w:r w:rsidR="007556B4" w:rsidRPr="007556B4">
            <w:rPr>
              <w:lang w:val="en-GB"/>
            </w:rPr>
            <w:delText>health</w:delText>
          </w:r>
        </w:del>
        <w:proofErr w:type="spellEnd"/>
        <w:del w:id="52460" w:author="Albert Kwame Osei-Owusu" w:date="2026-10-21T20:00:00Z">
          <w:r w:rsidR="007556B4" w:rsidRPr="007556B4">
            <w:rPr>
              <w:lang w:val="en-GB"/>
            </w:rPr>
            <w:delText xml:space="preserve"> </w:delText>
          </w:r>
        </w:del>
        <w:proofErr w:type="spellStart"/>
        <w:del w:id="52461" w:author="Albert Kwame Osei-Owusu" w:date="2026-10-21T20:00:00Z">
          <w:r w:rsidR="007556B4" w:rsidRPr="007556B4">
            <w:rPr>
              <w:lang w:val="en-GB"/>
            </w:rPr>
            <w:delText>care</w:delText>
          </w:r>
        </w:del>
        <w:proofErr w:type="spellEnd"/>
        <w:del w:id="52462" w:author="Albert Kwame Osei-Owusu" w:date="2026-10-21T20:00:00Z">
          <w:r w:rsidR="007556B4" w:rsidRPr="007556B4">
            <w:rPr>
              <w:lang w:val="en-GB"/>
            </w:rPr>
            <w:delText xml:space="preserve"> </w:delText>
          </w:r>
        </w:del>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7" w:author="Ofir Eriksen" w:date="2026-09-02T14:56:00Z">
        <w:del w:id="52463" w:author="Albert Kwame Osei-Owusu" w:date="2026-10-21T20:00:00Z">
          <w:r w:rsidR="007556B4" w:rsidRPr="007556B4">
            <w:rPr>
              <w:lang w:val="en-GB"/>
            </w:rPr>
            <w:delText xml:space="preserve"> with the international </w:delText>
          </w:r>
        </w:del>
        <w:proofErr w:type="spellStart"/>
        <w:del w:id="52464" w:author="Albert Kwame Osei-Owusu" w:date="2026-10-21T20:00:00Z">
          <w:r w:rsidR="007556B4" w:rsidRPr="007556B4">
            <w:rPr>
              <w:lang w:val="en-GB"/>
            </w:rPr>
            <w:delText>supply</w:delText>
          </w:r>
        </w:del>
        <w:proofErr w:type="spellEnd"/>
        <w:del w:id="52465" w:author="Albert Kwame Osei-Owusu" w:date="2026-10-21T20:00:00Z">
          <w:r w:rsidR="007556B4" w:rsidRPr="007556B4">
            <w:rPr>
              <w:lang w:val="en-GB"/>
            </w:rPr>
            <w:delText xml:space="preserve"> </w:delText>
          </w:r>
        </w:del>
        <w:proofErr w:type="spellStart"/>
        <w:del w:id="52466" w:author="Albert Kwame Osei-Owusu" w:date="2026-10-21T20:00:00Z">
          <w:r w:rsidR="007556B4" w:rsidRPr="007556B4">
            <w:rPr>
              <w:lang w:val="en-GB"/>
            </w:rPr>
            <w:delText>chains</w:delText>
          </w:r>
        </w:del>
        <w:proofErr w:type="spellEnd"/>
        <w:del w:id="52467" w:author="Albert Kwame Osei-Owusu" w:date="2026-10-21T20:00:00Z">
          <w:r w:rsidR="007556B4" w:rsidRPr="007556B4">
            <w:rPr>
              <w:lang w:val="en-GB"/>
            </w:rPr>
            <w:delText xml:space="preserve"> </w:delText>
          </w:r>
        </w:del>
        <w:proofErr w:type="spellStart"/>
        <w:del w:id="52468" w:author="Albert Kwame Osei-Owusu" w:date="2026-10-21T20:00:00Z">
          <w:r w:rsidR="007556B4" w:rsidRPr="007556B4">
            <w:rPr>
              <w:lang w:val="en-GB"/>
            </w:rPr>
            <w:delText>through</w:delText>
          </w:r>
        </w:del>
        <w:proofErr w:type="spellEnd"/>
        <w:del w:id="52469" w:author="Albert Kwame Osei-Owusu" w:date="2026-10-21T20:00:00Z">
          <w:r w:rsidR="007556B4" w:rsidRPr="007556B4">
            <w:rPr>
              <w:lang w:val="en-GB"/>
            </w:rPr>
            <w:delText xml:space="preserve"> </w:delText>
          </w:r>
        </w:del>
        <w:proofErr w:type="spellStart"/>
        <w:del w:id="52470" w:author="Albert Kwame Osei-Owusu" w:date="2026-10-21T20:00:00Z">
          <w:r w:rsidR="007556B4" w:rsidRPr="007556B4">
            <w:rPr>
              <w:lang w:val="en-GB"/>
            </w:rPr>
            <w:delText>which</w:delText>
          </w:r>
        </w:del>
        <w:proofErr w:type="spellEnd"/>
        <w:del w:id="52471" w:author="Albert Kwame Osei-Owusu" w:date="2026-10-21T20:00:00Z">
          <w:r w:rsidR="007556B4" w:rsidRPr="007556B4">
            <w:rPr>
              <w:lang w:val="en-GB"/>
            </w:rPr>
            <w:delText xml:space="preserve"> </w:delText>
          </w:r>
        </w:del>
        <w:proofErr w:type="spellStart"/>
        <w:del w:id="52472" w:author="Albert Kwame Osei-Owusu" w:date="2026-10-21T20:00:00Z">
          <w:r w:rsidR="007556B4" w:rsidRPr="007556B4">
            <w:rPr>
              <w:lang w:val="en-GB"/>
            </w:rPr>
            <w:delText>those</w:delText>
          </w:r>
        </w:del>
        <w:proofErr w:type="spellEnd"/>
        <w:del w:id="52473" w:author="Albert Kwame Osei-Owusu" w:date="2026-10-21T20:00:00Z">
          <w:r w:rsidR="007556B4" w:rsidRPr="007556B4">
            <w:rPr>
              <w:lang w:val="en-GB"/>
            </w:rPr>
            <w:delText xml:space="preserve"> </w:delText>
          </w:r>
        </w:del>
        <w:proofErr w:type="spellStart"/>
        <w:del w:id="52474" w:author="Albert Kwame Osei-Owusu" w:date="2026-10-21T20:00:00Z">
          <w:r w:rsidR="007556B4" w:rsidRPr="007556B4">
            <w:rPr>
              <w:lang w:val="en-GB"/>
            </w:rPr>
            <w:delText>impacts</w:delText>
          </w:r>
        </w:del>
        <w:proofErr w:type="spellEnd"/>
        <w:del w:id="52475" w:author="Albert Kwame Osei-Owusu" w:date="2026-10-21T20:00:00Z">
          <w:r w:rsidR="007556B4" w:rsidRPr="007556B4">
            <w:rPr>
              <w:lang w:val="en-GB"/>
            </w:rPr>
            <w:delText xml:space="preserve"> </w:delText>
          </w:r>
        </w:del>
        <w:proofErr w:type="spellStart"/>
        <w:del w:id="52476" w:author="Albert Kwame Osei-Owusu" w:date="2026-10-21T20:00:00Z">
          <w:r w:rsidR="007556B4" w:rsidRPr="007556B4">
            <w:rPr>
              <w:lang w:val="en-GB"/>
            </w:rPr>
            <w:delText>arise</w:delText>
          </w:r>
        </w:del>
        <w:proofErr w:type="spellEnd"/>
        <w:del w:id="52477" w:author="Albert Kwame Osei-Owusu" w:date="2026-10-21T20:00:00Z">
          <w:r w:rsidR="007556B4" w:rsidRPr="007556B4">
            <w:rPr>
              <w:lang w:val="en-GB"/>
            </w:rPr>
            <w:delText>.</w:delText>
          </w:r>
        </w:del>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487"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w:t>
        </w:r>
        <w:r>
          <w:t xml:space="preserve">EXIOBASE’s purchase column for the Danish health industry, which sets the composition of the services component, spends 0.04% of its purchases on Chemicals n.e.c., whereas medicines are 13.9% of the Danish health industries’ purchases in Statistics Denmark’s table. The omission is a defect of EXIOBASE’s Danish health recipe rather than a property of the method, because the Dutch column in the same table spends 11.4% of its purchases on Chemicals n.e.c. and the German column 16.3%, so the medicines used in Danish hospitals are largely missing here while the Dutch headline carries them.</w:t>
        </w:r>
        <w:r>
          <w:t xml:space="preserve"> Adding them to the services purchases, with the spend unchanged, increases the climate footprint by 32.1% when they carry the Chemicals n.e.c. intensity, and re-weighting every product to the national mix increases it by 34.4%. That intensity in turn </w:t>
        </w:r>
        <w:r>
          <w:t xml:space="preserve">probably </w:t>
        </w:r>
        <w:r>
          <w:t xml:space="preserve">overstates the emissions of medicines, and a pharmaceutical-specific intensity puts the climate median 12.5% below the headline; with both corrections, the climate footprint is 7.8% below the headline (Appendix A, Sensitivity; Table A.7).</w:t>
        </w:r>
        <w:r>
          <w:t xml:space="preserve"> </w:t>
        </w:r>
        <w:r>
          <w:t xml:space="preserve">The re-weighting changes only this study’s demand vector, as NHS England composes its demand from national procurement statistics [14], and leaves the balanced global table untouched; correcting the table itself has no published precedent short of rebuilding the whole country block from the national accounts, as Statistics Denmark’s coupled model does [28]. We nevertheless keep the headline on the published column, because the correction fails three tests. At the Chemicals n.e.c. intensity it fails a structural test, because pharmaceuticals and chemical products would then carry 78% of blue water consumption, against 42.9% in the Dutch results [13]. At a pharmaceutical-specific intensity of about one third of the chemicals intensity for climate change, as reported for the Netherlands [13,17], it reverses sign, so the correction bounds the climate footprint between 3,933 and 5,635 kt CO₂e rather than identifying </w:t>
        </w:r>
        <w:r>
          <w:t xml:space="preserve">it; reported ratios exist only for climate change</w:t>
        </w:r>
        <w:r>
          <w:t xml:space="preserve"> and </w:t>
        </w:r>
        <w:r>
          <w:t xml:space="preserve">material extraction, not</w:t>
        </w:r>
        <w:r>
          <w:t xml:space="preserve"> for </w:t>
        </w:r>
        <w:r>
          <w:t xml:space="preserve">blue water consumption, land use or waste generation.</w:t>
        </w:r>
        <w:r>
          <w:t xml:space="preserve"> </w:t>
        </w:r>
        <w:r>
          <w:t xml:space="preserve">Matched to the boundary and capital treatment of the closest Danish comparator (Appendix A, Validation against published Danish footprints), the published column lies within 3% of its figure, whereas the chemicals-intensity correction overshoots it by 25% and the pharmaceutical-intensity correction undershoots it by 9%; the comparison checks structure rather than the exact figure, but only the published column stays within a few per cent of it.</w:t>
        </w:r>
        <w:r>
          <w:t xml:space="preserve"> A Danish rebuild of the database from the national accounts would resolve this and the column’s other divergences at once, and is future work.</w:t>
        </w:r>
        <w:r>
          <w:t xml:space="preserve"> Distribution margins on medicines and appliances are charged at the intensity of the Danish trade industries; charging them at the manufacturing intensity, as a whole-column mapping does, would increase the climate footprint by </w:t>
        </w:r>
        <w:r>
          <w:t xml:space="preserve">11.4%</w:t>
        </w:r>
        <w:r>
          <w:t xml:space="preserve"> (Appendix A, Valuation and distribution margins).</w:t>
        </w:r>
      </w:ins>
    </w:p>
    <w:p w14:paraId="553F21D5" w14:textId="77777777">
      <w:pPr>
        <w:spacing w:after="160"/>
        <w:rPr>
          <w:ins w:id="52486" w:author="Albert Kwame Osei-Owusu" w:date="2026-10-21T20:00:00Z"/>
        </w:rPr>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w:t>
        </w:r>
        <w:r>
          <w:t xml:space="preserve"> capital use</w:t>
        </w:r>
        <w:r>
          <w:t xml:space="preserve"> matrices of </w:t>
        </w:r>
        <w:r>
          <w:t xml:space="preserve">Wood</w:t>
        </w:r>
        <w:r>
          <w:t xml:space="preserve"> and </w:t>
        </w:r>
        <w:r>
          <w:t xml:space="preserve">Södersten</w:t>
        </w:r>
        <w:r>
          <w:t xml:space="preserve"> [</w:t>
        </w:r>
        <w:r>
          <w:t xml:space="preserve">47</w:t>
        </w:r>
        <w:r>
          <w:t xml:space="preserve">], whose 2020 capital flows we apply to 2022 output without rescaling, adds 751 kt CO₂e, which would increase the headline by 17.6%, and </w:t>
        </w:r>
        <w:r>
          <w:t xml:space="preserve">1,348 kt of</w:t>
        </w:r>
        <w:r>
          <w:t xml:space="preserve"> material extraction </w:t>
        </w:r>
        <w:r>
          <w:t xml:space="preserve">(38.5% of the headline)</w:t>
        </w:r>
        <w:r>
          <w:t xml:space="preserve">. The</w:t>
        </w:r>
        <w:r>
          <w:t xml:space="preserve"> health industries’ own capital, valued separately as an annual service flow, adds 535 kt on its own and is not in that figure (Appendix A, Gross fixed capital formation). </w:t>
        </w:r>
        <w:r>
          <w:t xml:space="preserve">Future studies should bring capital into the boundary once capital matrices for 2022 are published.</w:t>
        </w:r>
        <w:r>
          <w:t xml:space="preserve"> </w:t>
        </w:r>
      </w:ins>
    </w:p>
    <w:p w14:paraId="148BE548" w14:textId="77777777" w:rsidR="00DD79B1" w:rsidRDefault="00A6040C" w:rsidP="004C5A97">
      <w:pPr>
        <w:spacing w:after="160"/>
      </w:pPr>
      <w:ins w:id="52485" w:author="Albert Kwame Osei-Owusu" w:date="2026-10-21T20:00:00Z">
        <w:r>
          <w:t xml:space="preserve">Material extraction adds tonnes without weighting, and input-output analysis assumes that physical flows are proportional to spending, which matters most where prices per tonne are </w:t>
        </w:r>
        <w:r>
          <w:t xml:space="preserve">lowest, as the</w:t>
        </w:r>
        <w:r>
          <w:t xml:space="preserve"> sand and clay </w:t>
        </w:r>
        <w:r>
          <w:t xml:space="preserve">purchases reported in</w:t>
        </w:r>
        <w:r>
          <w:t xml:space="preserve"> the </w:t>
        </w:r>
        <w:r>
          <w:t xml:space="preserve">Results show.</w:t>
        </w:r>
        <w:r>
          <w:t xml:space="preserve">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w:t>
        </w:r>
        <w:r>
          <w:t xml:space="preserve">own, and</w:t>
        </w:r>
        <w:r>
          <w:t xml:space="preserve"> our national climate footprint of 77.2 Mt</w:t>
        </w:r>
        <w:r>
          <w:t xml:space="preserve"> CO₂e</w:t>
        </w:r>
        <w:r>
          <w:t xml:space="preserve"> is 23% above Statistics Denmark’s experimental 62.9 </w:t>
        </w:r>
        <w:r>
          <w:t xml:space="preserve">Mt CO₂e,</w:t>
        </w:r>
        <w:r>
          <w:t xml:space="preserve">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t>
        </w:r>
        <w:r>
          <w:t xml:space="preserve">The two travel terms and</w:t>
        </w:r>
        <w:r>
          <w:t xml:space="preserve"> their </w:t>
        </w:r>
        <w:r>
          <w:t xml:space="preserve">covariance</w:t>
        </w:r>
        <w:r>
          <w:t xml:space="preserve"> account for </w:t>
        </w:r>
        <w:r>
          <w:t xml:space="preserve">30.3%</w:t>
        </w:r>
        <w:r>
          <w:t xml:space="preserve"> of the variance of the climate footprint, </w:t>
        </w:r>
        <w:r>
          <w:t xml:space="preserve">and the gas terms for almost none, </w:t>
        </w:r>
        <w:r>
          <w:t xml:space="preserve">compared to</w:t>
        </w:r>
        <w:r>
          <w:t xml:space="preserve"> 69.6% for the input-output parameters (Appendix A, Figs. A.13 and A.15), so better Danish data would narrow the interval only modestly. The interval covers parameter uncertainty only; the choices above are reported as sensitivity </w:t>
        </w:r>
        <w:r>
          <w:t xml:space="preserve">cases (Appendix A, Table A.7),</w:t>
        </w:r>
        <w:r>
          <w:t xml:space="preserve"> and other EXIOBASE releases put the Danish health industry’s output for 2022 at 70% and 36% of the national accounts</w:t>
        </w:r>
        <w:r>
          <w:t xml:space="preserve"> (versions 3.9 and 3.10, respectively)</w:t>
        </w:r>
        <w:r>
          <w:t xml:space="preserve"> (Appendix A, Reference years and the background model). </w:t>
        </w:r>
        <w:r>
          <w:t xml:space="preserve">This</w:t>
        </w:r>
        <w:r>
          <w:t xml:space="preserve"> is an EE-MRIO analysis with bottom-up complements rather than an integrated hybrid life cycle assessment, which would require physical process data for Danish health care that </w:t>
        </w:r>
        <w:r>
          <w:t xml:space="preserve">are</w:t>
        </w:r>
        <w:r>
          <w:t xml:space="preserve"> not </w:t>
        </w:r>
        <w:r>
          <w:t xml:space="preserve">available</w:t>
        </w:r>
        <w:r>
          <w:t xml:space="preserve"> at national scale. Double counting was tested term by </w:t>
        </w:r>
        <w:r>
          <w:t xml:space="preserve">term. Medical</w:t>
        </w:r>
        <w:r>
          <w:t xml:space="preserve">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w:t>
        </w:r>
        <w:r>
          <w:t xml:space="preserve"> be read as system-level estimates with quantified parameter uncertainty; the study identifies where impacts arise and does not estimate the mitigation potential of specific </w:t>
        </w:r>
        <w:r>
          <w:t xml:space="preserve">interventions, which future scenario modelling on this account could quantify.</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52430" w:author="Albert Kwame Osei-Owusu" w:date="2026-10-21T20:00:00Z">
        <w:r>
          <w:t xml:space="preserve">This study assessed the environmental impacts associated with delivering health care in Denmark in 2022, using an EE-MRIO framework complemented by bottom-up calculations for the sources that monetary accounts represent poorly. We find that Danish health care accounts for between 2.1% and 6.5% of the national footprint across five impact categories,</w:t>
        </w:r>
      </w:ins>
      <w:ins w:id="24915" w:author="Albert Kwame Osei-Owusu" w:date="2026-09-14T09:00:00Z">
        <w:r>
          <w:t xml:space="preserve">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w:t>
        </w:r>
        <w:r>
          <w:t xml:space="preserve">although services would be the largest in 60.1% of simulation draws if</w:t>
        </w:r>
        <w:r>
          <w:t xml:space="preserve"> medicines </w:t>
        </w:r>
        <w:r>
          <w:t xml:space="preserve">carried a pharmaceutical-specific intensity.</w:t>
        </w:r>
        <w:r>
          <w:t xml:space="preserve"> </w:t>
        </w:r>
        <w:r>
          <w:t xml:space="preserve">Pharmaceuticals and chemical products are the largest contributor to material extraction, blue water consumption and waste generation, and food and food services to land use.</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52431" w:author="Albert Kwame Osei-Owusu" w:date="2026-10-21T20:00:00Z">
        <w:r>
          <w:t xml:space="preserve">We also find that a footprint built on a global database needs checks against national accounts, because correcting a single misallocated industry, Danish sea transport, decreased the climate footprint by 25%, from 5,688 to 4,267 kt CO₂e. </w:t>
        </w:r>
      </w:ins>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ins w:id="52432" w:author="Albert Kwame Osei-Owusu" w:date="2026-10-21T20:00:00Z">
        <w:r>
          <w:t xml:space="preserve">However,</w:t>
        </w:r>
      </w:ins>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t>
        </w:r>
        <w:r>
          <w:t xml:space="preserve">The pattern of impacts points to three areas for action. Procurement of pharmaceuticals and chemical products </w:t>
        </w:r>
        <w:r>
          <w:t xml:space="preserve">comes first among</w:t>
        </w:r>
        <w:r>
          <w:t xml:space="preserve"> the three, as the largest contributor</w:t>
        </w:r>
        <w:r>
          <w:t xml:space="preserve"> in four of the five </w:t>
        </w:r>
        <w:r>
          <w:t xml:space="preserve">categories, although its size depends on how medicines are represented.</w:t>
        </w:r>
        <w:r>
          <w:t xml:space="preserve"> Employee commuting and patient and visitor travel together account for 16.6% of the climate footprint and are a part of the system a health authority can influence directly, through siting, scheduling and transport provision. Food and food services </w:t>
        </w:r>
        <w:r>
          <w:t xml:space="preserve">accounts</w:t>
        </w:r>
        <w:r>
          <w:t xml:space="preserve"> for 10.2% of the climate footprint and </w:t>
        </w:r>
        <w:r>
          <w:t xml:space="preserve">38.4%</w:t>
        </w:r>
        <w:r>
          <w:t xml:space="preserve"> of land use, so procurement standards for food carry disproportionate weight in the land and water categories. Each of these is </w:t>
        </w:r>
        <w:r>
          <w:t xml:space="preserve">a</w:t>
        </w:r>
        <w:r>
          <w:t xml:space="preserve"> category </w:t>
        </w:r>
        <w:r>
          <w:t xml:space="preserve">of health care demand that </w:t>
        </w:r>
        <w:r>
          <w:t xml:space="preserve">a </w:t>
        </w:r>
        <w:r>
          <w:t xml:space="preserve">health authority</w:t>
        </w:r>
        <w:r>
          <w:t xml:space="preserve"> can act on, </w:t>
        </w:r>
        <w:r>
          <w:t xml:space="preserve">through what it buys or how it organises care, </w:t>
        </w:r>
        <w:r>
          <w:t xml:space="preserve">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w:t>
        </w:r>
        <w:r>
          <w:rPr>
            <w:rFonts w:cs="Times New Roman"/>
            <w:szCs w:val="20"/>
          </w:rPr>
          <w:t xml:space="preserve">outside hospitals and clinics</w:t>
        </w:r>
        <w:r>
          <w:rPr>
            <w:rFonts w:cs="Times New Roman"/>
            <w:szCs w:val="20"/>
          </w:rPr>
          <w:t xml:space="preserve">: in the factories that make medicines and medical supplies, on the farms that grow the food served in hospitals</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w:t>
        </w:r>
        <w:r>
          <w:rPr>
            <w:rFonts w:cs="Times New Roman"/>
            <w:szCs w:val="20"/>
          </w:rPr>
          <w:t xml:space="preserve">The same finding</w:t>
        </w:r>
        <w:r>
          <w:rPr>
            <w:rFonts w:cs="Times New Roman"/>
            <w:szCs w:val="20"/>
          </w:rPr>
          <w:t xml:space="preserve">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w:t>
        </w:r>
        <w:r>
          <w:rPr>
            <w:rFonts w:cs="Times New Roman"/>
            <w:szCs w:val="20"/>
          </w:rPr>
          <w:t xml:space="preserve"> successive releases of</w:t>
        </w:r>
        <w:r>
          <w:rPr>
            <w:rFonts w:cs="Times New Roman"/>
            <w:szCs w:val="20"/>
          </w:rPr>
          <w:t xml:space="preserve"> the </w:t>
        </w:r>
        <w:r>
          <w:rPr>
            <w:rFonts w:cs="Times New Roman"/>
            <w:szCs w:val="20"/>
          </w:rPr>
          <w:t xml:space="preserve">global input-output databases</w:t>
        </w:r>
        <w:r>
          <w:rPr>
            <w:rFonts w:cs="Times New Roman"/>
            <w:szCs w:val="20"/>
          </w:rPr>
          <w:t xml:space="preserve">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w:t>
        </w:r>
        <w:r>
          <w:t xml:space="preserve">colleagues [13].</w:t>
        </w:r>
        <w:r>
          <w:t xml:space="preserve"> The code, processed input data and result tables are available at https://github.com/Ofir2025/envr-footprint-healthcare-Dk2025</w:t>
        </w:r>
        <w:r>
          <w:t xml:space="preserve">, and the version reported here is to be archived</w:t>
        </w:r>
        <w:r>
          <w:t xml:space="preserve"> </w:t>
        </w:r>
        <w:r>
          <w:t xml:space="preserve">as a new version of the</w:t>
        </w:r>
        <w:r>
          <w:t xml:space="preserve"> Zenodo </w:t>
        </w:r>
        <w:r>
          <w:t xml:space="preserve">record with concept DOI </w:t>
        </w:r>
        <w:r>
          <w:t xml:space="preserve">https://doi.org/10.5281/zenodo.20542389</w:t>
        </w:r>
        <w:r>
          <w:t xml:space="preserve">;</w:t>
        </w:r>
        <w:r>
          <w:t xml:space="preserve">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CO₂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14:paraId="5E183890" w14:textId="77777777">
      <w:pPr>
        <w:spacing w:after="60" w:line="240" w:lineRule="auto"/>
        <w:ind w:left="567" w:hanging="567"/>
        <w:rPr>
          <w:ins w:id="52478" w:author="Albert Kwame Osei-Owusu" w:date="2026-10-21T20:00:00Z"/>
        </w:rPr>
      </w:pPr>
      <w:ins w:id="52479" w:author="Albert Kwame Osei-Owusu" w:date="2026-10-21T20:00:00Z">
        <w:r>
          <w:t xml:space="preserve">[46]</w:t>
        </w:r>
        <w:r>
          <w:tab/>
        </w:r>
        <w:r>
          <w:t xml:space="preserve">L. Cabernard, S. Pfister, S. Hellweg, A new method for analyzing sustainability performance of global supply chains and its application to material resources, Sci. Total Environ. 684 (2019) 164-177. https://doi.org/10.1016/j.scitotenv.2019.04.434.</w:t>
        </w:r>
      </w:ins>
    </w:p>
    <w:p w14:paraId="52CE284B" w14:textId="77777777">
      <w:pPr>
        <w:spacing w:after="60" w:line="240" w:lineRule="auto"/>
        <w:ind w:left="567" w:hanging="567"/>
        <w:rPr>
          <w:ins w:id="52433" w:author="Albert Kwame Osei-Owusu" w:date="2026-10-21T20:00:00Z"/>
        </w:rPr>
      </w:pPr>
      <w:ins w:id="52434" w:author="Albert Kwame Osei-Owusu" w:date="2026-10-21T20:00:00Z">
        <w:r>
          <w:t xml:space="preserve">[47]</w:t>
        </w:r>
        <w:r>
          <w:tab/>
        </w:r>
        <w:r>
          <w:t xml:space="preserve">R. Wood, C.-J. Södersten, Capital use matrices, version 3.8.2 [dataset], Zenodo, 2021. https://doi.org/10.5281/zenodo.7073276.</w:t>
        </w:r>
      </w:ins>
    </w:p>
    <w:p>
      <w:pPr>
        <w:spacing w:after="60" w:line="240" w:lineRule="auto"/>
        <w:ind w:left="567" w:hanging="567"/>
        <w:rPr>
          <w:ins w:id="47182" w:author="Albert Kwame Osei-Owusu" w:date="2026-09-14T09:00:00Z"/>
        </w:rPr>
      </w:pPr>
      <w:ins w:id="47183" w:author="Albert Kwame Osei-Owusu" w:date="2026-09-14T09:00:00Z">
        <w:r>
          <w:t xml:space="preserve">[</w:t>
        </w:r>
        <w:r>
          <w:t xml:space="preserve">48</w:t>
        </w:r>
        <w:r>
          <w:t xml:space="preserve">]</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w:t>
        </w:r>
        <w:r>
          <w:t xml:space="preserve">49</w:t>
        </w:r>
        <w:r>
          <w:t xml:space="preserve">]</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w:t>
        </w:r>
        <w:r>
          <w:t xml:space="preserve">50</w:t>
        </w:r>
        <w:r>
          <w:t xml:space="preserve">]</w:t>
        </w:r>
        <w:r>
          <w:tab/>
        </w:r>
        <w:r>
          <w:t xml:space="preserve">S. Zheng, Z. Ye, K. Lu, T. He, Y. Liu, L. Zhang, Y. Hao, Accounting for non-CO₂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w:t>
        </w:r>
        <w:r>
          <w:t xml:space="preserve">51</w:t>
        </w:r>
        <w:r>
          <w:t xml:space="preserve">]</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2026-10-22T08:04:08Z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