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4,675.5</w:t>
            </w:r>
          </w:p>
        </w:tc>
        <w:tc>
          <w:tcPr>
            <w:tcW w:type="dxa" w:w="1656"/>
          </w:tcPr>
          <w:p>
            <w:pPr>
              <w:jc w:val="right"/>
            </w:pPr>
            <w:r>
              <w:rPr>
                <w:rFonts w:ascii="Calibri" w:hAnsi="Calibri"/>
                <w:sz w:val="18"/>
              </w:rPr>
              <w:t>796.0</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4,257.2</w:t>
            </w:r>
          </w:p>
        </w:tc>
        <w:tc>
          <w:tcPr>
            <w:tcW w:type="dxa" w:w="1656"/>
          </w:tcPr>
          <w:p>
            <w:pPr>
              <w:jc w:val="right"/>
            </w:pPr>
            <w:r>
              <w:rPr>
                <w:rFonts w:ascii="Calibri" w:hAnsi="Calibri"/>
                <w:sz w:val="18"/>
              </w:rPr>
              <w:t>724.8</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01_eriksen_replication/2022c/figure1_activity_contributions.csv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6,418.9</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-27.2</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2,617.2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-2,050.6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868.9</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868.5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922.3</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-308.9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498.0</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-205.1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243.9</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-44.0</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409.5</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74.3</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-0.1</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95.45</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4,206.60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4,673.63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4,851.07</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4,851.83</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4,246.25</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4,257.17</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02_scopes_wood_hertwich/2022c/scopes_summary_detailed.csv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1.8 %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6.40</w:t>
            </w:r>
          </w:p>
        </w:tc>
        <w:tc>
          <w:tcPr>
            <w:tcW w:type="dxa" w:w="1987"/>
          </w:tcPr>
          <w:p>
            <w:pPr>
              <w:jc w:val="right"/>
            </w:pPr>
            <w:r>
              <w:rPr>
                <w:rFonts w:ascii="Calibri" w:hAnsi="Calibri"/>
                <w:sz w:val="18"/>
              </w:rPr>
              <w:t>1.089</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7.90</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8.33</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8.36</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8.38</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7.17</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90.6 % and would not be a decomposition. The input-output share is stable between 78.4 % and 78.6 %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19.7 %, which this table states as a row of its own, and the interventions alone reach 15.4 %.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4.675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