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Read from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4138F5E9"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2, so that the three scopes and patient and visitor travel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7373AB62"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2A824FDA"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5"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We keep the headline on the published column for three reasons. First, no published study alters one purchase column inside a balanced global table; studies that distrust a database recipe replace the final demand vector, rebuild the whole country block from national accounts, or state the limitation, and Statistics Denmark’s own answer to the Danish block’s defects was a coupled national model [28]. Second, at the Chemicals n.e.c. intensity the correction fails a structural test, because pharmaceuticals and chemical products would then carry 78% of blue water consumption, against 42.9% in the Dutch results [13]. Third, at a pharmaceutical-specific intensity of about one third of the chemicals intensity for climate change, as reported for the Netherlands [13,17], the correction reverses sign, so it bounds the climate footprint between 3,933 and 5,635 kt CO₂e rather than identifying it.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With their covariance, these terms account for 30.4% of the variance of the climate footprint,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53D1ED4F"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53704FC3"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2026-10-22T01:37:52Z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