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and Albert Kwame Osei-Owusu</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w:t>
      </w:r>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ins w:id="19121" w:author="Albert Kwame Osei-Owusu" w:date="2026-09-14T09:00:00Z">
        <w:r w:rsidR="00DD0FF5" w:rsidRPr="00DD0FF5">
          <w:rPr>
            <w:rFonts w:ascii="Times New Roman" w:hAnsi="Times New Roman" w:cs="Times New Roman"/>
            <w:noProof/>
            <w:sz w:val="20"/>
            <w:szCs w:val="20"/>
          </w:rPr>
          <w:t xml:space="preserve">System of Health Accounts (SHA) [1]</w:t>
        </w:r>
      </w:ins>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vintage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consumption-based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The pharmaceuticals and chemical products group also carries more than pharmaceuticals, including chemical purchases made by health care services and possibly other activities.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at the annual average rate of Danmarks Nationalbank for the reference year: 7.4452 DKK/EUR for 2016, 7.4661 for 2019 and 7.4396 for 2022.</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Integration of </w:t>
      </w:r>
      <w:del w:id="6509" w:author="Albert Kwame Osei-Owusu" w:date="2026-09-12T09:00:00Z">
        <w:r>
          <w:rPr>
            <w:lang w:val="en-GB"/>
          </w:rPr>
          <w:delText xml:space="preserve">Danish Supply–Use Tables</w:delText>
        </w:r>
      </w:del>
      <w:ins w:id="6510" w:author="Albert Kwame Osei-Owusu" w:date="2026-09-12T09:00:00Z">
        <w:r>
          <w:rPr>
            <w:lang w:val="en-GB"/>
          </w:rPr>
          <w:t xml:space="preserve">Danish input-output tables</w:t>
        </w:r>
      </w:ins>
      <w:r>
        <w:rPr>
          <w:lang w:val="en-GB"/>
        </w:rPr>
        <w:t xml:space="preserve"> with EXIOBASE in five steps: (</w:t>
      </w:r>
      <w:proofErr w:type="spellStart"/>
      <w:r>
        <w:rPr>
          <w:lang w:val="en-GB"/>
        </w:rPr>
        <w:t>i</w:t>
      </w:r>
      <w:proofErr w:type="spellEnd"/>
      <w:r>
        <w:rPr>
          <w:lang w:val="en-GB"/>
        </w:rPr>
        <w:t xml:space="preserve">) summarising Danish </w:t>
      </w:r>
      <w:del w:id="4451" w:author="Albert Kwame Osei-Owusu" w:date="2026-09-12T09:00:00Z">
        <w:r>
          <w:rPr>
            <w:lang w:val="en-GB"/>
          </w:rPr>
          <w:delText xml:space="preserve">healthcare</w:delText>
        </w:r>
      </w:del>
      <w:ins w:id="4452" w:author="Albert Kwame Osei-Owusu" w:date="2026-09-12T09:00:00Z">
        <w:r>
          <w:rPr>
            <w:lang w:val="en-GB"/>
          </w:rPr>
          <w:t xml:space="preserve">health care</w:t>
        </w:r>
      </w:ins>
      <w:r>
        <w:rPr>
          <w:lang w:val="en-GB"/>
        </w:rPr>
        <w:t xml:space="preserve"> expenditures, (ii) aggregating them into SHA-based categories, (iii) mapping these to corresponding EXIOBASE sectors, </w:t>
      </w:r>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(iv) combining them with environmental extensions in the edited code base of Steenmeijer and colleagues</w:t>
        </w:r>
      </w:ins>
      <w:r>
        <w:rPr>
          <w:lang w:val="en-GB"/>
        </w:rPr>
        <w:t xml:space="preserve">, and (v) aggregating outputs into </w:t>
      </w:r>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sectoral, geographical and contribution analyses</w:t>
        </w:r>
      </w:ins>
      <w:r>
        <w:rPr>
          <w:lang w:val="en-GB"/>
        </w:rPr>
        <w:t xml:space="preserve">, as well as a scope-based </w:t>
      </w:r>
      <w:del w:id="99719" w:author="Albert Kwame Osei-Owusu" w:date="2026-09-14T09:00:00Z">
        <w:r>
          <w:rPr>
            <w:lang w:val="en-GB"/>
          </w:rPr>
          <w:delText xml:space="preserve">summary. </w:delText>
        </w:r>
      </w:del>
      <w:ins w:id="99720" w:author="Albert Kwame Osei-Owusu" w:date="2026-09-14T09:00:00Z">
        <w:r>
          <w:rPr>
            <w:lang w:val="en-GB"/>
          </w:rPr>
          <w:t xml:space="preserve">summary.</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 covering visits to doctors, hospitals and job centres)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Because the model is additive, the first-order variance shares </w:t>
        </w:r>
      </w:ins>
      <w:ins w:id="47569" w:author="Albert Kwame Osei-Owusu" w:date="2026-09-14T09:00:00Z">
        <w:r>
          <w:rPr>
            <w:rFonts w:ascii="Times New Roman" w:hAnsi="Times New Roman" w:cs="Times New Roman"/>
            <w:sz w:val="20"/>
            <w:szCs w:val="20"/>
            <w:highlight w:val="yellow"/>
            <w:lang w:val="en-GB"/>
          </w:rPr>
          <w:t xml:space="preserve">[21]</w:t>
        </w:r>
      </w:ins>
      <w:ins w:id="47570" w:author="Albert Kwame Osei-Owusu" w:date="2026-09-14T09:00:00Z">
        <w:r>
          <w:rPr>
            <w:rFonts w:ascii="Times New Roman" w:hAnsi="Times New Roman" w:cs="Times New Roman"/>
            <w:sz w:val="20"/>
            <w:szCs w:val="20"/>
            <w:lang w:val="en-GB"/>
          </w:rPr>
          <w:t xml:space="preserve">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The most important of these is the mapping of pharmaceutical expenditure: on a pharmaceutical-specific intensity rather than on Chemicals n.e.c., the median climate footprint falls to 3,547 kt CO₂e, below the parametric 95% interval of 3,675 to 5,029 kt. This single modelling choice therefore moves the estimate further than all six parameter groups together do.</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51574" w:author="Albert Kwame Osei-Owusu" w:date="2026-09-14T09:00:00Z">
        <w:r>
          <w:rPr>
            <w:rFonts w:ascii="Times New Roman" w:hAnsi="Times New Roman" w:cs="Times New Roman"/>
            <w:sz w:val="20"/>
            <w:szCs w:val="20"/>
            <w:lang w:val="en-GB"/>
          </w:rPr>
          <w:t xml:space="preserve">Against the headline of 4,267 kt CO₂e, the sensitivity cases give the following results. A pharmaceutical-specific intensity in place of Chemicals n.e.c. gives a median of 3,547 kt (16.9% lower); charging distribution margins at the manufacturing intensity gives 4,758 kt (11.5% higher); a sea-transport target share between 0.05 and 0.15 gives 4,245 to 4,397 kt; widening the boundary to include childcare gives 4,994 kt, and removing elder care gives 3,462 kt; endogenising capital on the matrices of Södersten and colleagues </w:t>
        </w:r>
      </w:ins>
      <w:ins w:id="51575" w:author="Albert Kwame Osei-Owusu" w:date="2026-09-14T09:00:00Z">
        <w:r>
          <w:rPr>
            <w:rFonts w:ascii="Times New Roman" w:hAnsi="Times New Roman" w:cs="Times New Roman"/>
            <w:sz w:val="20"/>
            <w:szCs w:val="20"/>
            <w:highlight w:val="yellow"/>
            <w:lang w:val="en-GB"/>
          </w:rPr>
          <w:t xml:space="preserve">[22]</w:t>
        </w:r>
      </w:ins>
      <w:ins w:id="51576" w:author="Albert Kwame Osei-Owusu" w:date="2026-09-14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of 0 rather than 0.8 between the two travel terms narrows the interval from 3,672 to 5,027 kt to 3,715 to 4,972 kt (20,000 draws).</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3413261"/>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413261"/>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A.1</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A.1.</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The impacts are distributed over seven sector groups plus an eighth aggregated group, ‘Other’.</w:t>
        </w:r>
      </w:ins>
    </w:p>
    <w:p>
      <w:pPr>
        <w:pStyle w:val="TableCaption"/>
        <w:rPr>
          <w:ins w:id="35351" w:author="Albert Kwame Osei-Owusu" w:date="2026-09-14T09:00:00Z"/>
          <w:lang w:val="en-GB"/>
        </w:rPr>
      </w:pPr>
      <w:ins w:id="35352" w:author="Albert Kwame Osei-Owusu" w:date="2026-09-14T09:00:00Z">
        <w:r>
          <w:rPr>
            <w:b/>
            <w:bCs/>
            <w:lang w:val="en-GB"/>
          </w:rPr>
          <w:t xml:space="preserve">Table A.2.</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4209" w:author="Albert Kwame Osei-Owusu" w:date="2026-09-13T09:00:00Z">
              <w:r>
                <w:t xml:space="preserve">1,594.4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4205" w:author="Albert Kwame Osei-Owusu" w:date="2026-09-13T09:00:00Z">
              <w:r>
                <w:t xml:space="preserve">210.0</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4197" w:author="Albert Kwame Osei-Owusu" w:date="2026-09-13T09:00:00Z">
              <w:r>
                <w:t xml:space="preserve">37.7</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indirect impacts of private travel, from fuel supply and vehicle manufacture,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A.3.</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consumption-based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A.4.</w:t>
        </w:r>
        <w:r>
          <w:rPr>
            <w:lang w:val="en-GB"/>
          </w:rPr>
          <w:t xml:space="preserve"> The health care footprint, the Danish national consumption-based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r>
              <w:rPr/>
              <w:t>consumption</w:t>
            </w:r>
            <w:proofErr w:type="spellEnd"/>
            <w:r>
              <w:rPr/>
              <w:t xml:space="preserve"> </w:t>
            </w:r>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r>
              <w:rPr/>
              <w:t>consumption</w:t>
            </w:r>
            <w:proofErr w:type="spellEnd"/>
            <w:r>
              <w:rPr/>
              <w:t xml:space="preserve"> </w:t>
            </w:r>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4036" w:author="Albert Kwame Osei-Owusu" w:date="2026-09-13T09:00:00Z">
              <w:r>
                <w:t xml:space="preserve">4,266.88</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056" w:author="Albert Kwame Osei-Owusu" w:date="2026-09-12T09:00:00Z">
              <w:r>
                <w:t xml:space="preserve">77,240.62</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4032" w:author="Albert Kwame Osei-Owusu" w:date="2026-09-13T09:00:00Z">
              <w:r>
                <w:t xml:space="preserve">5.52</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3,498.28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044" w:author="Albert Kwame Osei-Owusu" w:date="2026-09-12T09:00:00Z">
              <w:r>
                <w:t xml:space="preserve">53,925.07</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4024" w:author="Albert Kwame Osei-Owusu" w:date="2026-09-13T09:00:00Z">
              <w:r>
                <w:t xml:space="preserve">6.49</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4020" w:author="Albert Kwame Osei-Owusu" w:date="2026-09-13T09:00:00Z">
              <w:r>
                <w:t xml:space="preserve">74.78</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032" w:author="Albert Kwame Osei-Owusu" w:date="2026-09-12T09:00:00Z">
              <w:r>
                <w:t xml:space="preserve">1,276.05</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4,117.69</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020" w:author="Albert Kwame Osei-Owusu" w:date="2026-09-12T09:00:00Z">
              <w:r>
                <w:t xml:space="preserve">99,442.88</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008" w:author="Albert Kwame Osei-Owusu" w:date="2026-09-12T09:00:00Z">
              <w:r>
                <w:t xml:space="preserve">10,586.42</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A.5.</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exports, preserving the row and column balances of the Danish block, with the target share φ read from the Danish table for the background year in use: 0.0774 for the 2016 table, which the 2016 and 2019 runs share, and 0.0651 for the 2022 table. As an external check, the same procedure applied to the 2019 table returns 0.0931, matching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consumption-based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34132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34132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34132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34132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A.1 gives the same decomposition in absolute units, and Fig. A.5 gives it per person, using the Danish population of 5,873,420 in 2022. Per-person values are the form most readily compared with other national studies, which more often than not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349584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349584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is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falls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rises from 33,430 to 35,271 million euros in current prices and the five categories rise by between 1.5% and 5.9%: the climate footprint from 3,809 to 3,996 kt CO₂e, material extraction from 2,431 to 2,574 kt, blue water consumption from 45.1 to 47.7 Mm³, land use from 2,859 to 3,020 km² and waste generation from 227 to 230 kt. Between 2019 and 2022, expenditure rises by a further 15.1%, to 40,597 million euros, and the categories diverge: climate change +6.8%, material extraction +35.9%, blue water consumption +56.8%, land use +36.3% and waste generation −4.0%. The divergence arises largely from the background model. A group-level decomposition (Fig. A.9) shows the net climate increase of 271 kt to be the sum of a 657 kt rise in pharmaceuticals and chemical products, which grows because the chemicals block is larger in the 2022 table; falls of 231 kt in transport and 171 kt in the residual group; and a net rise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382309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382309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382309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382309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consumption-based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382309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382309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3630413"/>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3630413"/>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Pichler and colleagues, Eckelman and Sherman, and Malik and colleagues include health investment </w:t>
        </w:r>
      </w:ins>
      <w:ins w:id="62594" w:author="Albert Kwame Osei-Owusu" w:date="2026-09-14T09:00:00Z">
        <w:r>
          <w:rPr>
            <w:rFonts w:ascii="Times New Roman" w:hAnsi="Times New Roman" w:cs="Times New Roman"/>
            <w:sz w:val="20"/>
            <w:szCs w:val="20"/>
            <w:highlight w:val="yellow"/>
            <w:lang w:val="en-GB"/>
          </w:rPr>
          <w:t xml:space="preserve">[28,29,30]</w:t>
        </w:r>
      </w:ins>
      <w:ins w:id="62595" w:author="Albert Kwame Osei-Owusu" w:date="2026-09-14T09:00:00Z">
        <w:r>
          <w:rPr>
            <w:rFonts w:ascii="Times New Roman" w:hAnsi="Times New Roman" w:cs="Times New Roman"/>
            <w:sz w:val="20"/>
            <w:szCs w:val="20"/>
            <w:lang w:val="en-GB"/>
          </w:rPr>
          <w:t xml:space="preserve">, so their totals are not directly comparable. Excluding capital nonetheless has a measurable effect. Three capital treatments were computed on the input-output component with the operational term, 3,535 kt CO₂e. Adding the consumption of fixed capital of the Danish health and residential care industries as an exogenous service flow raises it to 4,070 kt, an increase of 15.1%.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63598" w:author="Albert Kwame Osei-Owusu" w:date="2026-09-14T09:00:00Z">
        <w:r>
          <w:rPr>
            <w:rFonts w:ascii="Times New Roman" w:hAnsi="Times New Roman" w:cs="Times New Roman"/>
            <w:sz w:val="20"/>
            <w:szCs w:val="20"/>
            <w:lang w:val="en-GB"/>
          </w:rPr>
          <w:t xml:space="preserve">raises it to 4,286 kt, an increase of 21.2%, and raises material extraction by 38.9%, blue water consumption by 12.5% and land use by 22.5%; a full endogenisation built from each region's own capital formation raises the climate figure by 23.0%. Excluding capital therefore places the estimate about a fifth lower for climate change and nearly two-fifths lower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64599" w:author="Albert Kwame Osei-Owusu" w:date="2026-09-14T09:00:00Z">
        <w:r>
          <w:rPr>
            <w:rFonts w:ascii="Times New Roman" w:hAnsi="Times New Roman" w:cs="Times New Roman"/>
            <w:sz w:val="20"/>
            <w:szCs w:val="20"/>
            <w:lang w:val="en-GB"/>
          </w:rPr>
          <w:t xml:space="preserve">The study characterises greenhouse gases on IPCC AR6 GWP100 values, in the input-output component </w:t>
        </w:r>
      </w:ins>
      <w:ins w:id="64600" w:author="Albert Kwame Osei-Owusu" w:date="2026-09-14T09:00:00Z">
        <w:r>
          <w:rPr>
            <w:rFonts w:ascii="Times New Roman" w:hAnsi="Times New Roman" w:cs="Times New Roman"/>
            <w:sz w:val="20"/>
            <w:szCs w:val="20"/>
            <w:highlight w:val="yellow"/>
            <w:lang w:val="en-GB"/>
          </w:rPr>
          <w:t xml:space="preserve">[31]</w:t>
        </w:r>
      </w:ins>
      <w:ins w:id="64601" w:author="Albert Kwame Osei-Owusu" w:date="2026-09-14T09:00:00Z">
        <w:r>
          <w:rPr>
            <w:rFonts w:ascii="Times New Roman" w:hAnsi="Times New Roman" w:cs="Times New Roman"/>
            <w:sz w:val="20"/>
            <w:szCs w:val="20"/>
            <w:lang w:val="en-GB"/>
          </w:rPr>
          <w:t xml:space="preserve"> and in the bottom-up terms alike. The choice moves the input-output component by about 5%: the same physical emissions give 3,254 kt CO₂e on SAR, 3,294 kt on TAR, 3,347 kt on AR4, 3,425 kt on AR5 and 3,415 kt on AR6. AR5 and AR6 are within 0.3% of one another, and studies characterised on AR4, including several of the comparators used here, sit about 2% below an AR6 accounting of the same emissions.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6111" w:author="Albert Kwame Osei-Owusu" w:date="2026-09-14T09:00:00Z">
        <w:r>
          <w:rPr>
            <w:rFonts w:ascii="Times New Roman" w:hAnsi="Times New Roman" w:cs="Times New Roman"/>
            <w:sz w:val="20"/>
            <w:szCs w:val="20"/>
            <w:lang w:val="en-GB"/>
          </w:rPr>
          <w:t xml:space="preserve">The Danish national consumption-based climate footprint computed in this study, 77.2 Mt CO₂e for 2022, is higher than Eurostat FIGARO's 57.4 Mt [32], Statistics Denmark's AFTRYK 62.9 Mt [33], and Schmidt and Merciai's EXIOBASE-based 73.9 Mt for 2016 </w:t>
        </w:r>
      </w:ins>
      <w:ins w:id="16112" w:author="Albert Kwame Osei-Owusu" w:date="2026-09-14T09:00:00Z">
        <w:r>
          <w:rPr>
            <w:rFonts w:ascii="Times New Roman" w:hAnsi="Times New Roman" w:cs="Times New Roman"/>
            <w:sz w:val="20"/>
            <w:szCs w:val="20"/>
            <w:highlight w:val="yellow"/>
            <w:lang w:val="en-GB"/>
          </w:rPr>
          <w:t xml:space="preserve">[34]</w:t>
        </w:r>
      </w:ins>
      <w:ins w:id="16113" w:author="Albert Kwame Osei-Owusu" w:date="2026-09-14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For health care, matching Schmidt and Merciai's sector boundary, which includes childcare, and their capital treatment moves this study's figure from 4.27 to 6.14 Mt CO₂e, 1.046 t per person, against their 6.1 Mt and 1.07 t per person for 2016: 0.7% higher in total and 2.3% lower per person. Their model is consequential and ours is attributional,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997430"/>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997430"/>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706875"/>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706875"/>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829092"/>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829092"/>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First-order variance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2746513"/>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2746513"/>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4067775"/>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4067775"/>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468313"/>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468313"/>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Pharmaceuticals and chemical products hold rank one in 96.6% of draws under the chemicals mapping.</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https://www.statbank.dk/AFFALD01</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https://www.statbank.dk/NABB117</w:t>
          </w:r>
        </w:ins>
      </w:hyperlink>
      <w:ins w:id="117833"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[33]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[34]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