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21049" w14:textId="11AE9817" w:rsidR="009F2618" w:rsidRPr="000F0CBE" w:rsidRDefault="003173D0" w:rsidP="000F0CBE">
      <w:pPr>
        <w:spacing w:line="240" w:lineRule="auto"/>
        <w:rPr>
          <w:rFonts w:ascii="Times New Roman" w:hAnsi="Times New Roman" w:cs="Times New Roman"/>
          <w:b/>
          <w:bCs/>
          <w:sz w:val="20"/>
          <w:szCs w:val="20"/>
          <w:lang w:val="en-GB"/>
        </w:rPr>
      </w:pPr>
      <w:proofErr w:type="spellStart"/>
      <w:r>
        <w:rPr>
          <w:rFonts w:ascii="Times New Roman" w:hAnsi="Times New Roman" w:cs="Times New Roman"/>
          <w:b/>
          <w:bCs/>
          <w:sz w:val="20"/>
          <w:szCs w:val="20"/>
          <w:lang w:val="en-GB"/>
        </w:rPr>
        <w:t>f</w:t>
      </w:r>
      <w:r w:rsidR="009F2618">
        <w:rPr>
          <w:rFonts w:ascii="Times New Roman" w:hAnsi="Times New Roman" w:cs="Times New Roman"/>
          <w:b/>
          <w:bCs/>
          <w:sz w:val="20"/>
          <w:szCs w:val="20"/>
          <w:lang w:val="en-GB"/>
        </w:rPr>
        <w:t>Supplementary</w:t>
      </w:r>
      <w:proofErr w:type="spellEnd"/>
      <w:r w:rsidR="009F2618">
        <w:rPr>
          <w:rFonts w:ascii="Times New Roman" w:hAnsi="Times New Roman" w:cs="Times New Roman"/>
          <w:b/>
          <w:bCs/>
          <w:sz w:val="20"/>
          <w:szCs w:val="20"/>
          <w:lang w:val="en-GB"/>
        </w:rPr>
        <w:t xml:space="preserve"> appendix </w:t>
      </w:r>
    </w:p>
    <w:p w14:paraId="7B97636F" w14:textId="77777777" w:rsidR="004C3780" w:rsidRDefault="00FD10E8">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Geographical Displacement of Healthcare’s Environmental impacts: A Danish Input-Output Study</w:t>
      </w:r>
    </w:p>
    <w:p w14:paraId="0546D314" w14:textId="58C45F40" w:rsidR="00622A11" w:rsidRPr="000F0CBE" w:rsidRDefault="00622A1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This document provides technical descriptions of the analytical framework, data sources, system boundaries, and calculations used to quantify the environmental footprint of the Danish healthcare system </w:t>
      </w:r>
      <w:r w:rsidR="007304E5">
        <w:rPr>
          <w:rFonts w:ascii="Times New Roman" w:hAnsi="Times New Roman" w:cs="Times New Roman"/>
          <w:sz w:val="20"/>
          <w:szCs w:val="20"/>
          <w:lang w:val="en-GB"/>
        </w:rPr>
        <w:t>(Main article)</w:t>
      </w:r>
      <w:r>
        <w:rPr>
          <w:rFonts w:ascii="Times New Roman" w:hAnsi="Times New Roman" w:cs="Times New Roman"/>
          <w:sz w:val="20"/>
          <w:szCs w:val="20"/>
          <w:lang w:val="en-GB"/>
        </w:rPr>
        <w:t xml:space="preserve">. Its purpose is to facilitate transparency, traceability, and reproducibility of the results reported in the accompanying journal manuscript. Each section provides further details for reviewers and other readers to be able to dive into a more detailed version of methodology and results for a more thorough interpretation. </w:t>
      </w:r>
    </w:p>
    <w:p w14:paraId="091C606A" w14:textId="77777777" w:rsidR="00D0193E" w:rsidRPr="000F0CBE" w:rsidRDefault="00D0193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Methods </w:t>
      </w:r>
    </w:p>
    <w:p w14:paraId="20AB7430" w14:textId="77777777"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The </w:t>
      </w:r>
      <w:proofErr w:type="spellStart"/>
      <w:r>
        <w:rPr>
          <w:rFonts w:ascii="Times New Roman" w:hAnsi="Times New Roman" w:cs="Times New Roman"/>
          <w:sz w:val="20"/>
          <w:szCs w:val="20"/>
        </w:rPr>
        <w:t>analysis</w:t>
      </w:r>
      <w:proofErr w:type="spellEnd"/>
      <w:r>
        <w:rPr>
          <w:rFonts w:ascii="Times New Roman" w:hAnsi="Times New Roman" w:cs="Times New Roman"/>
          <w:sz w:val="20"/>
          <w:szCs w:val="20"/>
        </w:rPr>
        <w:t xml:space="preserve"> covers </w:t>
      </w:r>
      <w:proofErr w:type="spellStart"/>
      <w:r>
        <w:rPr>
          <w:rFonts w:ascii="Times New Roman" w:hAnsi="Times New Roman" w:cs="Times New Roman"/>
          <w:sz w:val="20"/>
          <w:szCs w:val="20"/>
        </w:rPr>
        <w:t>five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categories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climate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change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material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extraction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blue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water</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land </w:t>
      </w:r>
      <w:proofErr w:type="spellStart"/>
      <w:r>
        <w:rPr>
          <w:rFonts w:ascii="Times New Roman" w:hAnsi="Times New Roman" w:cs="Times New Roman"/>
          <w:sz w:val="20"/>
          <w:szCs w:val="20"/>
        </w:rPr>
        <w:t>use</w:t>
      </w:r>
      <w:proofErr w:type="spellEnd"/>
      <w:r>
        <w:rPr>
          <w:rFonts w:ascii="Times New Roman" w:hAnsi="Times New Roman" w:cs="Times New Roman"/>
          <w:sz w:val="20"/>
          <w:szCs w:val="20"/>
        </w:rPr>
        <w:t xml:space="preserve">, and </w:t>
      </w:r>
      <w:proofErr w:type="spellStart"/>
      <w:r>
        <w:rPr>
          <w:rFonts w:ascii="Times New Roman" w:hAnsi="Times New Roman" w:cs="Times New Roman"/>
          <w:sz w:val="20"/>
          <w:szCs w:val="20"/>
        </w:rPr>
        <w:t>waste</w:t>
      </w:r>
      <w:proofErr w:type="spellEnd"/>
      <w:r>
        <w:rPr>
          <w:rFonts w:ascii="Times New Roman" w:hAnsi="Times New Roman" w:cs="Times New Roman"/>
          <w:sz w:val="20"/>
          <w:szCs w:val="20"/>
        </w:rPr>
        <w:t xml:space="preserve"> generation. By </w:t>
      </w:r>
      <w:proofErr w:type="spellStart"/>
      <w:r>
        <w:rPr>
          <w:rFonts w:ascii="Times New Roman" w:hAnsi="Times New Roman" w:cs="Times New Roman"/>
          <w:sz w:val="20"/>
          <w:szCs w:val="20"/>
        </w:rPr>
        <w:t>applying</w:t>
      </w:r>
      <w:proofErr w:type="spellEnd"/>
      <w:r>
        <w:rPr>
          <w:rFonts w:ascii="Times New Roman" w:hAnsi="Times New Roman" w:cs="Times New Roman"/>
          <w:sz w:val="20"/>
          <w:szCs w:val="20"/>
        </w:rPr>
        <w:t xml:space="preserve"> a </w:t>
      </w:r>
      <w:proofErr w:type="spellStart"/>
      <w:r>
        <w:rPr>
          <w:rFonts w:ascii="Times New Roman" w:hAnsi="Times New Roman" w:cs="Times New Roman"/>
          <w:sz w:val="20"/>
          <w:szCs w:val="20"/>
        </w:rPr>
        <w:t>methodology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consistent</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international studies </w:t>
      </w:r>
      <w:proofErr w:type="spellStart"/>
      <w:r>
        <w:rPr>
          <w:rFonts w:ascii="Times New Roman" w:hAnsi="Times New Roman" w:cs="Times New Roman"/>
          <w:sz w:val="20"/>
          <w:szCs w:val="20"/>
        </w:rPr>
        <w:t>while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using</w:t>
      </w:r>
      <w:proofErr w:type="spellEnd"/>
      <w:r>
        <w:rPr>
          <w:rFonts w:ascii="Times New Roman" w:hAnsi="Times New Roman" w:cs="Times New Roman"/>
          <w:sz w:val="20"/>
          <w:szCs w:val="20"/>
        </w:rPr>
        <w:t xml:space="preserve"> Danish data and system </w:t>
      </w:r>
      <w:proofErr w:type="spellStart"/>
      <w:r>
        <w:rPr>
          <w:rFonts w:ascii="Times New Roman" w:hAnsi="Times New Roman" w:cs="Times New Roman"/>
          <w:sz w:val="20"/>
          <w:szCs w:val="20"/>
        </w:rPr>
        <w:t>boundaries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study</w:t>
      </w:r>
      <w:proofErr w:type="spellEnd"/>
      <w:r>
        <w:rPr>
          <w:rFonts w:ascii="Times New Roman" w:hAnsi="Times New Roman" w:cs="Times New Roman"/>
          <w:sz w:val="20"/>
          <w:szCs w:val="20"/>
        </w:rPr>
        <w:t xml:space="preserve"> provides a </w:t>
      </w:r>
      <w:proofErr w:type="spellStart"/>
      <w:r>
        <w:rPr>
          <w:rFonts w:ascii="Times New Roman" w:hAnsi="Times New Roman" w:cs="Times New Roman"/>
          <w:sz w:val="20"/>
          <w:szCs w:val="20"/>
        </w:rPr>
        <w:t>systemic</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perspective</w:t>
      </w:r>
      <w:proofErr w:type="spellEnd"/>
      <w:r>
        <w:rPr>
          <w:rFonts w:ascii="Times New Roman" w:hAnsi="Times New Roman" w:cs="Times New Roman"/>
          <w:sz w:val="20"/>
          <w:szCs w:val="20"/>
        </w:rPr>
        <w:t xml:space="preserve"> on the </w:t>
      </w:r>
      <w:proofErr w:type="spellStart"/>
      <w:r>
        <w:rPr>
          <w:rFonts w:ascii="Times New Roman" w:hAnsi="Times New Roman" w:cs="Times New Roman"/>
          <w:sz w:val="20"/>
          <w:szCs w:val="20"/>
        </w:rPr>
        <w:t>environmental</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associated</w:t>
      </w:r>
      <w:proofErr w:type="spellEnd"/>
      <w:r>
        <w:rPr>
          <w:rFonts w:ascii="Times New Roman" w:hAnsi="Times New Roman" w:cs="Times New Roman"/>
          <w:sz w:val="20"/>
          <w:szCs w:val="20"/>
        </w:rPr>
        <w:t xml:space="preserve"> with Danish </w:t>
      </w:r>
      <w:proofErr w:type="spellStart"/>
      <w:r>
        <w:rPr>
          <w:rFonts w:ascii="Times New Roman" w:hAnsi="Times New Roman" w:cs="Times New Roman"/>
          <w:sz w:val="20"/>
          <w:szCs w:val="20"/>
        </w:rPr>
        <w:t>healthcare</w:t>
      </w:r>
      <w:proofErr w:type="spellEnd"/>
      <w:r>
        <w:rPr>
          <w:rFonts w:ascii="Times New Roman" w:hAnsi="Times New Roman" w:cs="Times New Roman"/>
          <w:sz w:val="20"/>
          <w:szCs w:val="20"/>
        </w:rPr>
        <w:t xml:space="preserve"> and the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that</w:t>
      </w:r>
      <w:proofErr w:type="spellEnd"/>
      <w:r>
        <w:rPr>
          <w:rFonts w:ascii="Times New Roman" w:hAnsi="Times New Roman" w:cs="Times New Roman"/>
          <w:sz w:val="20"/>
          <w:szCs w:val="20"/>
        </w:rPr>
        <w:t xml:space="preserve"> drive </w:t>
      </w:r>
      <w:proofErr w:type="spellStart"/>
      <w:r>
        <w:rPr>
          <w:rFonts w:ascii="Times New Roman" w:hAnsi="Times New Roman" w:cs="Times New Roman"/>
          <w:sz w:val="20"/>
          <w:szCs w:val="20"/>
        </w:rPr>
        <w:t>them</w:t>
      </w:r>
      <w:proofErr w:type="spellEnd"/>
      <w:r>
        <w:rPr>
          <w:rFonts w:ascii="Times New Roman" w:hAnsi="Times New Roman" w:cs="Times New Roman"/>
          <w:sz w:val="20"/>
          <w:szCs w:val="20"/>
        </w:rPr>
        <w:t xml:space="preserve">. Healthcare in </w:t>
      </w:r>
      <w:proofErr w:type="spellStart"/>
      <w:r>
        <w:rPr>
          <w:rFonts w:ascii="Times New Roman" w:hAnsi="Times New Roman" w:cs="Times New Roman"/>
          <w:sz w:val="20"/>
          <w:szCs w:val="20"/>
        </w:rPr>
        <w:t>this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scope</w:t>
      </w:r>
      <w:proofErr w:type="spellEnd"/>
      <w:r>
        <w:rPr>
          <w:rFonts w:ascii="Times New Roman" w:hAnsi="Times New Roman" w:cs="Times New Roman"/>
          <w:sz w:val="20"/>
          <w:szCs w:val="20"/>
        </w:rPr>
        <w:t xml:space="preserve"> is </w:t>
      </w:r>
      <w:proofErr w:type="spellStart"/>
      <w:r>
        <w:rPr>
          <w:rFonts w:ascii="Times New Roman" w:hAnsi="Times New Roman" w:cs="Times New Roman"/>
          <w:sz w:val="20"/>
          <w:szCs w:val="20"/>
        </w:rPr>
        <w:t>defined</w:t>
      </w:r>
      <w:proofErr w:type="spellEnd"/>
      <w:r>
        <w:rPr>
          <w:rFonts w:ascii="Times New Roman" w:hAnsi="Times New Roman" w:cs="Times New Roman"/>
          <w:sz w:val="20"/>
          <w:szCs w:val="20"/>
        </w:rPr>
        <w:t xml:space="preserve"> as: </w:t>
      </w:r>
    </w:p>
    <w:p w14:paraId="6C951952" w14:textId="77777777" w:rsidR="009E6028" w:rsidRPr="000F0CBE" w:rsidRDefault="009E6028" w:rsidP="000F0CBE">
      <w:pPr>
        <w:spacing w:after="360" w:line="240" w:lineRule="auto"/>
        <w:jc w:val="center"/>
        <w:rPr>
          <w:rFonts w:ascii="Times New Roman" w:hAnsi="Times New Roman" w:cs="Times New Roman"/>
          <w:i/>
          <w:iCs/>
          <w:sz w:val="20"/>
          <w:szCs w:val="20"/>
        </w:rPr>
      </w:pPr>
      <w:r>
        <w:rPr>
          <w:rFonts w:ascii="Times New Roman" w:hAnsi="Times New Roman" w:cs="Times New Roman"/>
          <w:i/>
          <w:iCs/>
          <w:sz w:val="20"/>
          <w:szCs w:val="20"/>
        </w:rPr>
        <w:t xml:space="preserve">“Health and social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services (</w:t>
      </w:r>
      <w:proofErr w:type="spellStart"/>
      <w:r>
        <w:rPr>
          <w:rFonts w:ascii="Times New Roman" w:hAnsi="Times New Roman" w:cs="Times New Roman"/>
          <w:i/>
          <w:iCs/>
          <w:sz w:val="20"/>
          <w:szCs w:val="20"/>
        </w:rPr>
        <w:t>including</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residential</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elder</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care</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pharmaceutical</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other</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medical</w:t>
      </w:r>
      <w:proofErr w:type="spellEnd"/>
      <w:r>
        <w:rPr>
          <w:rFonts w:ascii="Times New Roman" w:hAnsi="Times New Roman" w:cs="Times New Roman"/>
          <w:i/>
          <w:iCs/>
          <w:sz w:val="20"/>
          <w:szCs w:val="20"/>
        </w:rPr>
        <w:t xml:space="preserve"> products, and </w:t>
      </w:r>
      <w:proofErr w:type="spellStart"/>
      <w:r>
        <w:rPr>
          <w:rFonts w:ascii="Times New Roman" w:hAnsi="Times New Roman" w:cs="Times New Roman"/>
          <w:i/>
          <w:iCs/>
          <w:sz w:val="20"/>
          <w:szCs w:val="20"/>
        </w:rPr>
        <w:t>therapeutic</w:t>
      </w:r>
      <w:proofErr w:type="spellEnd"/>
      <w:r>
        <w:rPr>
          <w:rFonts w:ascii="Times New Roman" w:hAnsi="Times New Roman" w:cs="Times New Roman"/>
          <w:i/>
          <w:iCs/>
          <w:sz w:val="20"/>
          <w:szCs w:val="20"/>
        </w:rPr>
        <w:t xml:space="preserve"> </w:t>
      </w:r>
      <w:proofErr w:type="spellStart"/>
      <w:r>
        <w:rPr>
          <w:rFonts w:ascii="Times New Roman" w:hAnsi="Times New Roman" w:cs="Times New Roman"/>
          <w:i/>
          <w:iCs/>
          <w:sz w:val="20"/>
          <w:szCs w:val="20"/>
        </w:rPr>
        <w:t>appliances</w:t>
      </w:r>
      <w:proofErr w:type="spellEnd"/>
      <w:r>
        <w:rPr>
          <w:rFonts w:ascii="Times New Roman" w:hAnsi="Times New Roman" w:cs="Times New Roman"/>
          <w:i/>
          <w:iCs/>
          <w:sz w:val="20"/>
          <w:szCs w:val="20"/>
        </w:rPr>
        <w:t xml:space="preserve"> &amp; </w:t>
      </w:r>
      <w:proofErr w:type="spellStart"/>
      <w:r>
        <w:rPr>
          <w:rFonts w:ascii="Times New Roman" w:hAnsi="Times New Roman" w:cs="Times New Roman"/>
          <w:i/>
          <w:iCs/>
          <w:sz w:val="20"/>
          <w:szCs w:val="20"/>
        </w:rPr>
        <w:t>equipment</w:t>
      </w:r>
      <w:proofErr w:type="spellEnd"/>
      <w:r>
        <w:rPr>
          <w:rFonts w:ascii="Times New Roman" w:hAnsi="Times New Roman" w:cs="Times New Roman"/>
          <w:i/>
          <w:iCs/>
          <w:sz w:val="20"/>
          <w:szCs w:val="20"/>
        </w:rPr>
        <w:t xml:space="preserve">.” </w:t>
      </w:r>
    </w:p>
    <w:p w14:paraId="2EF94E5C" w14:textId="3FEF2A2D" w:rsidR="009E6028" w:rsidRPr="000F0CBE" w:rsidRDefault="009E6028" w:rsidP="000F0CBE">
      <w:pPr>
        <w:spacing w:line="240" w:lineRule="auto"/>
        <w:rPr>
          <w:rFonts w:ascii="Times New Roman" w:hAnsi="Times New Roman" w:cs="Times New Roman"/>
          <w:sz w:val="20"/>
          <w:szCs w:val="20"/>
        </w:rPr>
      </w:pPr>
      <w:r>
        <w:rPr>
          <w:rFonts w:ascii="Times New Roman" w:hAnsi="Times New Roman" w:cs="Times New Roman"/>
          <w:sz w:val="20"/>
          <w:szCs w:val="20"/>
        </w:rPr>
        <w:t xml:space="preserve">This definition </w:t>
      </w:r>
      <w:proofErr w:type="spellStart"/>
      <w:r>
        <w:rPr>
          <w:rFonts w:ascii="Times New Roman" w:hAnsi="Times New Roman" w:cs="Times New Roman"/>
          <w:sz w:val="20"/>
          <w:szCs w:val="20"/>
        </w:rPr>
        <w:t>aligns</w:t>
      </w:r>
      <w:proofErr w:type="spellEnd"/>
      <w:r>
        <w:rPr>
          <w:rFonts w:ascii="Times New Roman" w:hAnsi="Times New Roman" w:cs="Times New Roman"/>
          <w:sz w:val="20"/>
          <w:szCs w:val="20"/>
        </w:rPr>
        <w:t xml:space="preserve"> with the System of Health </w:t>
      </w:r>
      <w:proofErr w:type="spellStart"/>
      <w:r>
        <w:rPr>
          <w:rFonts w:ascii="Times New Roman" w:hAnsi="Times New Roman" w:cs="Times New Roman"/>
          <w:sz w:val="20"/>
          <w:szCs w:val="20"/>
        </w:rPr>
        <w:t>Accounts</w:t>
      </w:r>
      <w:proofErr w:type="spellEnd"/>
      <w:r>
        <w:rPr>
          <w:rFonts w:ascii="Times New Roman" w:hAnsi="Times New Roman" w:cs="Times New Roman"/>
          <w:sz w:val="20"/>
          <w:szCs w:val="20"/>
        </w:rPr>
        <w:t xml:space="preserve"> </w:t>
      </w:r>
      <w:r>
        <w:rPr>
          <w:rFonts w:ascii="Times New Roman" w:hAnsi="Times New Roman" w:cs="Times New Roman"/>
          <w:sz w:val="20"/>
          <w:szCs w:val="20"/>
        </w:rPr>
        <w:fldChar w:fldCharType="begin"/>
      </w:r>
      <w:r w:rsidR="00DD0FF5">
        <w:rPr>
          <w:rFonts w:ascii="Times New Roman" w:hAnsi="Times New Roman" w:cs="Times New Roman"/>
          <w:sz w:val="20"/>
          <w:szCs w:val="20"/>
        </w:rPr>
        <w:instrText xml:space="preserve"> ADDIN EN.CITE &lt;EndNote&gt;&lt;Cite&gt;&lt;Author&gt;Organisation for Economic Co-operation and Development&lt;/Author&gt;&lt;Year&gt;2017&lt;/Year&gt;&lt;RecNum&gt;35&lt;/RecNum&gt;&lt;DisplayText&gt;&lt;style face="superscript"&gt;1&lt;/style&gt;&lt;/DisplayText&gt;&lt;record&gt;&lt;rec-number&gt;35&lt;/rec-number&gt;&lt;foreign-keys&gt;&lt;key app="EN" db-id="z5r2svst3pad9gevvdhvwaf70xpdftwrs0ef" timestamp="1781025842"&gt;35&lt;/key&gt;&lt;/foreign-keys&gt;&lt;ref-type name="Report"&gt;27&lt;/ref-type&gt;&lt;contributors&gt;&lt;authors&gt;&lt;author&gt;Organisation for Economic Co-operation and Development,&lt;/author&gt;&lt;author&gt;Eurostat,&lt;/author&gt;&lt;author&gt;World Health Organization,&lt;/author&gt;&lt;/authors&gt;&lt;/contributors&gt;&lt;titles&gt;&lt;title&gt;A System of Health Accounts 2011 (Revised)&lt;/title&gt;&lt;/titles&gt;&lt;dates&gt;&lt;year&gt;2017&lt;/year&gt;&lt;/dates&gt;&lt;publisher&gt;OECD&lt;/publisher&gt;&lt;urls&gt;&lt;/urls&gt;&lt;/record&gt;&lt;/Cite&gt;&lt;/EndNote&gt;</w:instrText>
      </w:r>
      <w:r>
        <w:rPr>
          <w:rFonts w:ascii="Times New Roman" w:hAnsi="Times New Roman" w:cs="Times New Roman"/>
          <w:sz w:val="20"/>
          <w:szCs w:val="20"/>
        </w:rPr>
        <w:fldChar w:fldCharType="separate"/>
      </w:r>
      <w:r w:rsidR="00DD0FF5" w:rsidRPr="00DD0FF5">
        <w:rPr>
          <w:rFonts w:ascii="Times New Roman" w:hAnsi="Times New Roman" w:cs="Times New Roman"/>
          <w:noProof/>
          <w:sz w:val="20"/>
          <w:szCs w:val="20"/>
          <w:vertAlign w:val="superscript"/>
        </w:rPr>
        <w:t>1</w:t>
      </w:r>
      <w:r>
        <w:rPr>
          <w:rFonts w:ascii="Times New Roman" w:hAnsi="Times New Roman" w:cs="Times New Roman"/>
          <w:sz w:val="20"/>
          <w:szCs w:val="20"/>
        </w:rPr>
        <w:fldChar w:fldCharType="end"/>
      </w:r>
      <w:r>
        <w:rPr>
          <w:rFonts w:ascii="Times New Roman" w:hAnsi="Times New Roman" w:cs="Times New Roman"/>
          <w:sz w:val="20"/>
          <w:szCs w:val="20"/>
        </w:rPr>
        <w:t xml:space="preserve"> and </w:t>
      </w:r>
      <w:proofErr w:type="spellStart"/>
      <w:r>
        <w:rPr>
          <w:rFonts w:ascii="Times New Roman" w:hAnsi="Times New Roman" w:cs="Times New Roman"/>
          <w:sz w:val="20"/>
          <w:szCs w:val="20"/>
        </w:rPr>
        <w:t>ensures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comparability</w:t>
      </w:r>
      <w:proofErr w:type="spellEnd"/>
      <w:r>
        <w:rPr>
          <w:rFonts w:ascii="Times New Roman" w:hAnsi="Times New Roman" w:cs="Times New Roman"/>
          <w:sz w:val="20"/>
          <w:szCs w:val="20"/>
        </w:rPr>
        <w:t xml:space="preserve"> with </w:t>
      </w:r>
      <w:proofErr w:type="spellStart"/>
      <w:r>
        <w:rPr>
          <w:rFonts w:ascii="Times New Roman" w:hAnsi="Times New Roman" w:cs="Times New Roman"/>
          <w:sz w:val="20"/>
          <w:szCs w:val="20"/>
        </w:rPr>
        <w:t>previous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healthcare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studies. The system </w:t>
      </w:r>
      <w:proofErr w:type="spellStart"/>
      <w:r>
        <w:rPr>
          <w:rFonts w:ascii="Times New Roman" w:hAnsi="Times New Roman" w:cs="Times New Roman"/>
          <w:sz w:val="20"/>
          <w:szCs w:val="20"/>
        </w:rPr>
        <w:t>boundary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includes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some</w:t>
      </w:r>
      <w:proofErr w:type="spellEnd"/>
      <w:r>
        <w:rPr>
          <w:rFonts w:ascii="Times New Roman" w:hAnsi="Times New Roman" w:cs="Times New Roman"/>
          <w:sz w:val="20"/>
          <w:szCs w:val="20"/>
        </w:rPr>
        <w:t xml:space="preserve">, but not all, </w:t>
      </w:r>
      <w:proofErr w:type="spellStart"/>
      <w:r>
        <w:rPr>
          <w:rFonts w:ascii="Times New Roman" w:hAnsi="Times New Roman" w:cs="Times New Roman"/>
          <w:sz w:val="20"/>
          <w:szCs w:val="20"/>
        </w:rPr>
        <w:t>direct</w:t>
      </w:r>
      <w:proofErr w:type="spellEnd"/>
      <w:r>
        <w:rPr>
          <w:rFonts w:ascii="Times New Roman" w:hAnsi="Times New Roman" w:cs="Times New Roman"/>
          <w:sz w:val="20"/>
          <w:szCs w:val="20"/>
        </w:rPr>
        <w:t xml:space="preserve"> emissions from </w:t>
      </w:r>
      <w:proofErr w:type="spellStart"/>
      <w:r>
        <w:rPr>
          <w:rFonts w:ascii="Times New Roman" w:hAnsi="Times New Roman" w:cs="Times New Roman"/>
          <w:sz w:val="20"/>
          <w:szCs w:val="20"/>
        </w:rPr>
        <w:t>healthcare</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activities</w:t>
      </w:r>
      <w:proofErr w:type="spellEnd"/>
      <w:r>
        <w:rPr>
          <w:rFonts w:ascii="Times New Roman" w:hAnsi="Times New Roman" w:cs="Times New Roman"/>
          <w:sz w:val="20"/>
          <w:szCs w:val="20"/>
        </w:rPr>
        <w:t xml:space="preserve"> and </w:t>
      </w:r>
      <w:proofErr w:type="spellStart"/>
      <w:r>
        <w:rPr>
          <w:rFonts w:ascii="Times New Roman" w:hAnsi="Times New Roman" w:cs="Times New Roman"/>
          <w:sz w:val="20"/>
          <w:szCs w:val="20"/>
        </w:rPr>
        <w:t>indirect</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impacts</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arising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along</w:t>
      </w:r>
      <w:proofErr w:type="spellEnd"/>
      <w:r>
        <w:rPr>
          <w:rFonts w:ascii="Times New Roman" w:hAnsi="Times New Roman" w:cs="Times New Roman"/>
          <w:sz w:val="20"/>
          <w:szCs w:val="20"/>
        </w:rPr>
        <w:t xml:space="preserve"> global </w:t>
      </w:r>
      <w:proofErr w:type="spellStart"/>
      <w:r>
        <w:rPr>
          <w:rFonts w:ascii="Times New Roman" w:hAnsi="Times New Roman" w:cs="Times New Roman"/>
          <w:sz w:val="20"/>
          <w:szCs w:val="20"/>
        </w:rPr>
        <w:t>supply</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chains</w:t>
      </w:r>
      <w:proofErr w:type="spellEnd"/>
      <w:r>
        <w:rPr>
          <w:rFonts w:ascii="Times New Roman" w:hAnsi="Times New Roman" w:cs="Times New Roman"/>
          <w:sz w:val="20"/>
          <w:szCs w:val="20"/>
        </w:rPr>
        <w:t xml:space="preserve">. </w:t>
      </w:r>
    </w:p>
    <w:p w14:paraId="2D3FE4BB" w14:textId="77777777" w:rsidR="00A85ACF" w:rsidRPr="000F0CBE" w:rsidRDefault="005C5AE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timeseries was considered to analyse the expenditure over time. However, the environmental impacts are already estimated based on rough estimates. Adding a detailed version of expenditure introduces the risk of making it seem like the results are very accurate and can be traced over several years. However, the same anchor would be used for all the datasets, namely the 2016 EXIOBASE dataset. Another challenge is assessing how much inflation has affected the prices of products and services. Government and central bank money printing has increased dramatically over the recent decade, while official inflation estimates </w:t>
      </w:r>
      <w:proofErr w:type="gramStart"/>
      <w:r>
        <w:rPr>
          <w:rFonts w:ascii="Times New Roman" w:hAnsi="Times New Roman" w:cs="Times New Roman"/>
          <w:sz w:val="20"/>
          <w:szCs w:val="20"/>
          <w:lang w:val="en-GB"/>
        </w:rPr>
        <w:t>remains</w:t>
      </w:r>
      <w:proofErr w:type="gramEnd"/>
      <w:r>
        <w:rPr>
          <w:rFonts w:ascii="Times New Roman" w:hAnsi="Times New Roman" w:cs="Times New Roman"/>
          <w:sz w:val="20"/>
          <w:szCs w:val="20"/>
          <w:lang w:val="en-GB"/>
        </w:rPr>
        <w:t xml:space="preserve"> a politically disputed topic. This makes it difficult to accurately determine whether potentially increased spending is based on increased consumption or from an increase in reported prices. </w:t>
      </w:r>
    </w:p>
    <w:p w14:paraId="0736B473" w14:textId="77777777" w:rsidR="00627B42" w:rsidRPr="000F0CBE" w:rsidRDefault="002E6B7F"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MRIO Database </w:t>
      </w:r>
    </w:p>
    <w:p w14:paraId="58B56370" w14:textId="77777777" w:rsidR="00156225" w:rsidRPr="000F0CBE" w:rsidRDefault="001C53C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applied MRIO system is based on EXIOBASE version 3.7 (49 regions; 163 industries), with monetary supply-use and input-output tables; environmental extensions for industries and final demand; and a characterization system for multiple impact categories. The background scripts load and serialize the following core objects, that are used for the calculations: </w:t>
      </w:r>
    </w:p>
    <w:p w14:paraId="41B49A5A"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A</w:t>
      </w:r>
      <w:r>
        <w:rPr>
          <w:rFonts w:ascii="Times New Roman" w:hAnsi="Times New Roman" w:cs="Times New Roman"/>
          <w:sz w:val="20"/>
          <w:szCs w:val="20"/>
          <w:lang w:val="en-GB"/>
        </w:rPr>
        <w:t xml:space="preserve"> = Technical coefficients matrix </w:t>
      </w:r>
    </w:p>
    <w:p w14:paraId="4892404B"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Y</w:t>
      </w:r>
      <w:r>
        <w:rPr>
          <w:rFonts w:ascii="Times New Roman" w:hAnsi="Times New Roman" w:cs="Times New Roman"/>
          <w:sz w:val="20"/>
          <w:szCs w:val="20"/>
          <w:lang w:val="en-GB"/>
        </w:rPr>
        <w:t xml:space="preserve"> = Final demand matrix </w:t>
      </w:r>
    </w:p>
    <w:p w14:paraId="2DB94FAB" w14:textId="77777777" w:rsidR="00674723"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R</w:t>
      </w:r>
      <w:r>
        <w:rPr>
          <w:rFonts w:ascii="Times New Roman" w:hAnsi="Times New Roman" w:cs="Times New Roman"/>
          <w:sz w:val="20"/>
          <w:szCs w:val="20"/>
          <w:lang w:val="en-GB"/>
        </w:rPr>
        <w:t xml:space="preserve"> = Environmental extensions for industries and products </w:t>
      </w:r>
    </w:p>
    <w:p w14:paraId="39322578" w14:textId="77777777" w:rsidR="00D3713F"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H</w:t>
      </w:r>
      <w:r>
        <w:rPr>
          <w:rFonts w:ascii="Times New Roman" w:hAnsi="Times New Roman" w:cs="Times New Roman"/>
          <w:sz w:val="20"/>
          <w:szCs w:val="20"/>
          <w:lang w:val="en-GB"/>
        </w:rPr>
        <w:t xml:space="preserve"> = Final</w:t>
      </w:r>
      <w:r>
        <w:rPr>
          <w:rFonts w:ascii="Times New Roman" w:hAnsi="Times New Roman" w:cs="Times New Roman"/>
          <w:sz w:val="20"/>
          <w:szCs w:val="20"/>
          <w:lang w:val="en-GB"/>
        </w:rPr>
        <w:noBreakHyphen/>
        <w:t>demand (consumption</w:t>
      </w:r>
      <w:r>
        <w:rPr>
          <w:rFonts w:ascii="Times New Roman" w:hAnsi="Times New Roman" w:cs="Times New Roman"/>
          <w:sz w:val="20"/>
          <w:szCs w:val="20"/>
          <w:lang w:val="en-GB"/>
        </w:rPr>
        <w:noBreakHyphen/>
        <w:t xml:space="preserve">based) satellite (EXIOBASE naming) </w:t>
      </w:r>
    </w:p>
    <w:p w14:paraId="53D437F9" w14:textId="77777777" w:rsidR="004745A9" w:rsidRPr="000F0CBE" w:rsidRDefault="00674723" w:rsidP="000F0CBE">
      <w:pPr>
        <w:pStyle w:val="ListParagraph"/>
        <w:numPr>
          <w:ilvl w:val="0"/>
          <w:numId w:val="9"/>
        </w:numPr>
        <w:spacing w:line="240" w:lineRule="auto"/>
        <w:rPr>
          <w:rFonts w:ascii="Times New Roman" w:hAnsi="Times New Roman" w:cs="Times New Roman"/>
          <w:sz w:val="20"/>
          <w:szCs w:val="20"/>
          <w:lang w:val="en-GB"/>
        </w:rPr>
      </w:pPr>
      <w:r>
        <w:rPr>
          <w:rFonts w:ascii="Times New Roman" w:hAnsi="Times New Roman" w:cs="Times New Roman"/>
          <w:b/>
          <w:bCs/>
          <w:sz w:val="20"/>
          <w:szCs w:val="20"/>
          <w:lang w:val="en-GB"/>
        </w:rPr>
        <w:t>Q</w:t>
      </w:r>
      <w:r>
        <w:rPr>
          <w:rFonts w:ascii="Times New Roman" w:hAnsi="Times New Roman" w:cs="Times New Roman"/>
          <w:sz w:val="20"/>
          <w:szCs w:val="20"/>
          <w:lang w:val="en-GB"/>
        </w:rPr>
        <w:t xml:space="preserve"> = characterization matrices assembled to quantify five impact categories (GWP100, abiotic material extraction, water use, land use, and waste flows). </w:t>
      </w:r>
    </w:p>
    <w:p w14:paraId="0F741AF6" w14:textId="77777777" w:rsidR="006914A2" w:rsidRPr="000F0CBE" w:rsidRDefault="006914A2"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Danish regional treatment </w:t>
      </w:r>
    </w:p>
    <w:p w14:paraId="743AF820" w14:textId="77777777" w:rsidR="00C21D78" w:rsidRPr="000F0CBE" w:rsidRDefault="006914A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Denmark was retained as an explicit individual region within the EXIOBASE regional structure. This allowed Danish healthcare demand to be traced through both domestic production and international supply chains without altering the internal balance of the MRIO system. The original codebase also keeps the Netherlands explicit, which was deemed safest to leave un-altered for the calculations. All non</w:t>
      </w:r>
      <w:r>
        <w:rPr>
          <w:rFonts w:ascii="Times New Roman" w:hAnsi="Times New Roman" w:cs="Times New Roman"/>
          <w:sz w:val="20"/>
          <w:szCs w:val="20"/>
          <w:lang w:val="en-GB"/>
        </w:rPr>
        <w:noBreakHyphen/>
        <w:t xml:space="preserve">DK and non-NL regions follow the standard EXIOBASE aggregation. </w:t>
      </w:r>
    </w:p>
    <w:p w14:paraId="154DDCA3" w14:textId="77777777" w:rsidR="006F6A8A" w:rsidRPr="000F0CBE" w:rsidRDefault="006F6A8A"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Construction of the Leontief system </w:t>
      </w:r>
    </w:p>
    <w:p w14:paraId="67161A2D"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Leontief inverse is calculated as: </w:t>
      </w:r>
    </w:p>
    <w:p w14:paraId="55F71CB1" w14:textId="77777777" w:rsidR="000F0CBE" w:rsidRPr="000F0CBE" w:rsidRDefault="000F0CBE" w:rsidP="000F0CBE">
      <w:pPr>
        <w:spacing w:after="0" w:line="240" w:lineRule="auto"/>
        <w:rPr>
          <w:rFonts w:ascii="Times New Roman" w:hAnsi="Times New Roman" w:cs="Times New Roman"/>
          <w:sz w:val="20"/>
          <w:szCs w:val="20"/>
          <w:lang w:val="en-GB"/>
        </w:rPr>
      </w:pPr>
    </w:p>
    <w:p w14:paraId="0414A52B" w14:textId="77777777" w:rsidR="004C3780" w:rsidRDefault="00FD10E8">
      <w:pPr>
        <w:tabs>
          <w:tab w:val="center" w:pos="4819"/>
          <w:tab w:val="right" w:pos="9638"/>
        </w:tabs>
      </w:pPr>
      <w:r>
        <w:tab/>
      </w:r>
      <m:oMath>
        <m:r>
          <w:rPr>
            <w:rFonts w:ascii="Cambria Math" w:hAnsi="Cambria Math" w:cs="Times New Roman"/>
            <w:sz w:val="20"/>
            <w:szCs w:val="20"/>
            <w:lang w:val="en-GB"/>
          </w:rPr>
          <m:t>L=(I-A</m:t>
        </m:r>
        <m:sSup>
          <m:sSupPr>
            <m:ctrlPr>
              <w:rPr>
                <w:rFonts w:ascii="Cambria Math" w:hAnsi="Cambria Math" w:cs="Times New Roman"/>
                <w:sz w:val="20"/>
                <w:szCs w:val="20"/>
                <w:lang w:val="en-GB"/>
              </w:rPr>
            </m:ctrlPr>
          </m:sSupPr>
          <m:e>
            <m:r>
              <w:rPr>
                <w:rFonts w:ascii="Cambria Math" w:hAnsi="Cambria Math" w:cs="Times New Roman"/>
                <w:sz w:val="20"/>
                <w:szCs w:val="20"/>
                <w:lang w:val="en-GB"/>
              </w:rPr>
              <m:t>)</m:t>
            </m:r>
          </m:e>
          <m:sup>
            <m:r>
              <w:rPr>
                <w:rFonts w:ascii="Cambria Math" w:hAnsi="Cambria Math" w:cs="Times New Roman"/>
                <w:sz w:val="20"/>
                <w:szCs w:val="20"/>
                <w:lang w:val="en-GB"/>
              </w:rPr>
              <m:t>-1</m:t>
            </m:r>
          </m:sup>
        </m:sSup>
        <m:r>
          <m:rPr>
            <m:sty m:val="p"/>
          </m:rPr>
          <w:rPr>
            <w:rFonts w:ascii="Cambria Math" w:hAnsi="Cambria Math" w:cs="Times New Roman"/>
            <w:sz w:val="20"/>
            <w:szCs w:val="20"/>
            <w:lang w:val="en-GB"/>
          </w:rPr>
          <w:br/>
        </m:r>
      </m:oMath>
      <w:r>
        <w:tab/>
        <w:t>(A1)</w:t>
      </w:r>
    </w:p>
    <w:p w14:paraId="2711278F"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where </w:t>
      </w:r>
      <m:oMath>
        <m:r>
          <w:rPr>
            <w:rFonts w:ascii="Cambria Math" w:hAnsi="Cambria Math" w:cs="Times New Roman"/>
            <w:sz w:val="20"/>
            <w:szCs w:val="20"/>
            <w:lang w:val="en-GB"/>
          </w:rPr>
          <m:t>I</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the identity matrix and </w:t>
      </w:r>
      <m:oMath>
        <m:r>
          <w:rPr>
            <w:rFonts w:ascii="Cambria Math" w:hAnsi="Cambria Math" w:cs="Times New Roman"/>
            <w:sz w:val="20"/>
            <w:szCs w:val="20"/>
            <w:lang w:val="en-GB"/>
          </w:rPr>
          <m:t>A</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is the technical coefficient matrix.</w:t>
      </w:r>
    </w:p>
    <w:p w14:paraId="5827509F"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Total output </w:t>
      </w:r>
      <m:oMath>
        <m:r>
          <w:rPr>
            <w:rFonts w:ascii="Cambria Math" w:hAnsi="Cambria Math" w:cs="Times New Roman"/>
            <w:sz w:val="20"/>
            <w:szCs w:val="20"/>
            <w:lang w:val="en-GB"/>
          </w:rPr>
          <m:t>x</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computed as: </w:t>
      </w:r>
    </w:p>
    <w:p w14:paraId="774CBC06" w14:textId="77777777" w:rsidR="000F0CBE" w:rsidRPr="000F0CBE" w:rsidRDefault="000F0CBE" w:rsidP="000F0CBE">
      <w:pPr>
        <w:spacing w:after="0" w:line="240" w:lineRule="auto"/>
        <w:rPr>
          <w:rFonts w:ascii="Times New Roman" w:hAnsi="Times New Roman" w:cs="Times New Roman"/>
          <w:sz w:val="20"/>
          <w:szCs w:val="20"/>
          <w:lang w:val="en-GB"/>
        </w:rPr>
      </w:pPr>
    </w:p>
    <w:p w14:paraId="55D63155" w14:textId="77777777" w:rsidR="004C3780" w:rsidRDefault="00FD10E8">
      <w:pPr>
        <w:tabs>
          <w:tab w:val="center" w:pos="4819"/>
          <w:tab w:val="right" w:pos="9638"/>
        </w:tabs>
      </w:pPr>
      <w:r>
        <w:tab/>
      </w:r>
      <m:oMath>
        <m:r>
          <w:rPr>
            <w:rFonts w:ascii="Cambria Math" w:hAnsi="Cambria Math" w:cs="Times New Roman"/>
            <w:sz w:val="20"/>
            <w:szCs w:val="20"/>
            <w:lang w:val="en-GB"/>
          </w:rPr>
          <m:t>x=L⋅y</m:t>
        </m:r>
        <m:r>
          <m:rPr>
            <m:sty m:val="p"/>
          </m:rPr>
          <w:rPr>
            <w:rFonts w:ascii="Cambria Math" w:hAnsi="Cambria Math" w:cs="Times New Roman"/>
            <w:sz w:val="20"/>
            <w:szCs w:val="20"/>
            <w:lang w:val="en-GB"/>
          </w:rPr>
          <w:br/>
        </m:r>
      </m:oMath>
      <w:r>
        <w:tab/>
        <w:t>(A2)</w:t>
      </w:r>
    </w:p>
    <w:p w14:paraId="152F6D29"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where </w:t>
      </w:r>
      <m:oMath>
        <m:r>
          <w:rPr>
            <w:rFonts w:ascii="Cambria Math" w:hAnsi="Cambria Math" w:cs="Times New Roman"/>
            <w:sz w:val="20"/>
            <w:szCs w:val="20"/>
            <w:lang w:val="en-GB"/>
          </w:rPr>
          <m:t>y</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the vector of aggregated final demand. </w:t>
      </w:r>
    </w:p>
    <w:p w14:paraId="577B8B38" w14:textId="77777777" w:rsidR="006F6A8A"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The inter</w:t>
      </w:r>
      <w:r>
        <w:rPr>
          <w:rFonts w:ascii="Times New Roman" w:hAnsi="Times New Roman" w:cs="Times New Roman"/>
          <w:sz w:val="20"/>
          <w:szCs w:val="20"/>
          <w:lang w:val="en-GB"/>
        </w:rPr>
        <w:noBreakHyphen/>
        <w:t xml:space="preserve">industry transaction matrix </w:t>
      </w:r>
      <m:oMath>
        <m:r>
          <w:rPr>
            <w:rFonts w:ascii="Cambria Math" w:hAnsi="Cambria Math" w:cs="Times New Roman"/>
            <w:sz w:val="20"/>
            <w:szCs w:val="20"/>
            <w:lang w:val="en-GB"/>
          </w:rPr>
          <m:t>Z</m:t>
        </m:r>
      </m:oMath>
      <w:r>
        <w:rPr>
          <w:rFonts w:ascii="Times New Roman" w:eastAsiaTheme="minorEastAsia" w:hAnsi="Times New Roman" w:cs="Times New Roman"/>
          <w:sz w:val="20"/>
          <w:szCs w:val="20"/>
          <w:lang w:val="en-GB"/>
        </w:rPr>
        <w:t xml:space="preserve"> </w:t>
      </w:r>
      <w:r>
        <w:rPr>
          <w:rFonts w:ascii="Times New Roman" w:hAnsi="Times New Roman" w:cs="Times New Roman"/>
          <w:sz w:val="20"/>
          <w:szCs w:val="20"/>
          <w:lang w:val="en-GB"/>
        </w:rPr>
        <w:t xml:space="preserve">is reconstructed as: </w:t>
      </w:r>
    </w:p>
    <w:p w14:paraId="3998CE91" w14:textId="77777777" w:rsidR="000F0CBE" w:rsidRPr="000F0CBE" w:rsidRDefault="000F0CBE" w:rsidP="000F0CBE">
      <w:pPr>
        <w:spacing w:after="0" w:line="240" w:lineRule="auto"/>
        <w:rPr>
          <w:rFonts w:ascii="Times New Roman" w:hAnsi="Times New Roman" w:cs="Times New Roman"/>
          <w:sz w:val="20"/>
          <w:szCs w:val="20"/>
          <w:lang w:val="en-GB"/>
        </w:rPr>
      </w:pPr>
    </w:p>
    <w:p w14:paraId="363967BE" w14:textId="77777777" w:rsidR="004C3780" w:rsidRDefault="00FD10E8">
      <w:pPr>
        <w:tabs>
          <w:tab w:val="center" w:pos="4819"/>
          <w:tab w:val="right" w:pos="9638"/>
        </w:tabs>
      </w:pPr>
      <w:r>
        <w:tab/>
      </w:r>
      <m:oMath>
        <m:r>
          <w:rPr>
            <w:rFonts w:ascii="Cambria Math" w:hAnsi="Cambria Math" w:cs="Times New Roman"/>
            <w:sz w:val="20"/>
            <w:szCs w:val="20"/>
            <w:lang w:val="en-GB"/>
          </w:rPr>
          <m:t>Z=A⋅diag(x)</m:t>
        </m:r>
        <m:r>
          <m:rPr>
            <m:sty m:val="p"/>
          </m:rPr>
          <w:rPr>
            <w:rFonts w:ascii="Cambria Math" w:hAnsi="Cambria Math" w:cs="Times New Roman"/>
            <w:sz w:val="20"/>
            <w:szCs w:val="20"/>
            <w:lang w:val="en-GB"/>
          </w:rPr>
          <w:br/>
        </m:r>
      </m:oMath>
      <w:r>
        <w:tab/>
        <w:t>(A3)</w:t>
      </w:r>
    </w:p>
    <w:p w14:paraId="534DC069" w14:textId="77777777" w:rsidR="006F6A8A" w:rsidRPr="000F0CBE" w:rsidRDefault="006F6A8A"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All matrices (</w:t>
      </w:r>
      <m:oMath>
        <m:r>
          <w:rPr>
            <w:rFonts w:ascii="Cambria Math" w:hAnsi="Cambria Math" w:cs="Times New Roman"/>
            <w:sz w:val="20"/>
            <w:szCs w:val="20"/>
            <w:lang w:val="en-GB"/>
          </w:rPr>
          <m:t>A</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L</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x</m:t>
        </m:r>
      </m:oMath>
      <w:r>
        <w:rPr>
          <w:rFonts w:ascii="Times New Roman" w:hAnsi="Times New Roman" w:cs="Times New Roman"/>
          <w:sz w:val="20"/>
          <w:szCs w:val="20"/>
          <w:lang w:val="en-GB"/>
        </w:rPr>
        <w:t xml:space="preserve">, </w:t>
      </w:r>
      <m:oMath>
        <m:r>
          <w:rPr>
            <w:rFonts w:ascii="Cambria Math" w:hAnsi="Cambria Math" w:cs="Times New Roman"/>
            <w:sz w:val="20"/>
            <w:szCs w:val="20"/>
            <w:lang w:val="en-GB"/>
          </w:rPr>
          <m:t>Z</m:t>
        </m:r>
      </m:oMath>
      <w:r>
        <w:rPr>
          <w:rFonts w:ascii="Times New Roman" w:hAnsi="Times New Roman" w:cs="Times New Roman"/>
          <w:sz w:val="20"/>
          <w:szCs w:val="20"/>
          <w:lang w:val="en-GB"/>
        </w:rPr>
        <w:t xml:space="preserve">) were stored as serialized background objects to ensure numerical consistency across analyses. </w:t>
      </w:r>
    </w:p>
    <w:p w14:paraId="68DB548F" w14:textId="77777777" w:rsidR="009C5F75" w:rsidRPr="000F0CBE" w:rsidRDefault="009C5F75" w:rsidP="000F0CBE">
      <w:pPr>
        <w:spacing w:line="240" w:lineRule="auto"/>
        <w:rPr>
          <w:rFonts w:ascii="Times New Roman" w:hAnsi="Times New Roman" w:cs="Times New Roman"/>
          <w:i/>
          <w:iCs/>
          <w:sz w:val="20"/>
          <w:szCs w:val="20"/>
          <w:lang w:val="en-GB"/>
        </w:rPr>
      </w:pPr>
    </w:p>
    <w:p w14:paraId="4147D8AD" w14:textId="77777777" w:rsidR="00CF428E" w:rsidRPr="000F0CBE" w:rsidRDefault="00CF428E"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System Boundary </w:t>
      </w:r>
    </w:p>
    <w:p w14:paraId="7C503FCF" w14:textId="77777777" w:rsidR="005A0DD7" w:rsidRPr="000F0CBE" w:rsidRDefault="007A39E3"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For pharmaceuticals and medical durables, expenditure was allocated to the corresponding EXIOBASE sectors and distributed across supplying regions based on sourcing patterns observed in Danish final demand. This step reflects the international supply chains of these products and assigns impacts according to the geographical origin of production.</w:t>
      </w:r>
    </w:p>
    <w:p w14:paraId="2DACD5AC" w14:textId="53A95BD3" w:rsidR="00F55D2C" w:rsidRPr="000F0CBE" w:rsidRDefault="00F55D2C"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Dutch study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&lt;EndNote&gt;&lt;Cite&gt;&lt;Author&gt;Hagenaars&lt;/Author&gt;&lt;Year&gt;2022&lt;/Year&gt;&lt;RecNum&gt;48&lt;/RecNum&gt;&lt;DisplayText&gt;&lt;style face="superscript"&gt;2&lt;/style&gt;&lt;/DisplayText&gt;&lt;record&gt;&lt;rec-number&gt;48&lt;/rec-number&gt;&lt;foreign-keys&gt;&lt;key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2</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found that using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to represent pharmaceuticals may lead to an overestimation of pharmaceutical</w:t>
      </w:r>
      <w:r>
        <w:rPr>
          <w:rFonts w:ascii="Times New Roman" w:hAnsi="Times New Roman" w:cs="Times New Roman"/>
          <w:sz w:val="20"/>
          <w:szCs w:val="20"/>
          <w:lang w:val="en-GB"/>
        </w:rPr>
        <w:noBreakHyphen/>
        <w:t xml:space="preserve">specific impacts for material extraction and greenhouse gas emissions, while other impact categories were excluded from their study. However, a recent case study on penicillin has shown, that normalised to milli-person equivalents, the largest contribution to environmental effects from pharmaceuticals are toxicity-related effects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&lt;EndNote&gt;&lt;Cite&gt;&lt;Author&gt;Olsen&lt;/Author&gt;&lt;Year&gt;2026&lt;/Year&gt;&lt;RecNum&gt;58&lt;/RecNum&gt;&lt;DisplayText&gt;&lt;style face="superscript"&gt;3&lt;/style&gt;&lt;/DisplayText&gt;&lt;record&gt;&lt;rec-number&gt;58&lt;/rec-number&gt;&lt;foreign-keys&gt;&lt;key app="EN" db-id="z5r2svst3pad9gevvdhvwaf70xpdftwrs0ef" timestamp="1781111081"&gt;58&lt;/key&gt;&lt;/foreign-keys&gt;&lt;ref-type name="Journal Article"&gt;17&lt;/ref-type&gt;&lt;contributors&gt;&lt;authors&gt;&lt;author&gt;Olsen, Rune Winther Fabrin&lt;/author&gt;&lt;author&gt;Johansen, Katrine Bitsch&lt;/author&gt;&lt;author&gt;Ayivee, Fahamida&lt;/author&gt;&lt;author&gt;Gislason, Styrmir&lt;/author&gt;&lt;author&gt;Pedersen, Sidsel Arnspang&lt;/author&gt;&lt;author&gt;Cimpan, Ciprian&lt;/author&gt;&lt;/authors&gt;&lt;/contributors&gt;&lt;titles&gt;&lt;title&gt;The greener prescription: Life cycle environmental impact of oral and IV penicillin treatments&lt;/title&gt;&lt;secondary-title&gt;Sustainable Chemistry and Pharmacy&lt;/secondary-title&gt;&lt;/titles&gt;&lt;periodical&gt;&lt;full-title&gt;Sustainable Chemistry and Pharmacy&lt;/full-title&gt;&lt;/periodical&gt;&lt;volume&gt;50&lt;/volume&gt;&lt;section&gt;102346&lt;/section&gt;&lt;dates&gt;&lt;year&gt;2026&lt;/year&gt;&lt;/dates&gt;&lt;isbn&gt;23525541&lt;/isbn&gt;&lt;urls&gt;&lt;/urls&gt;&lt;electronic-resource-num&gt;10.1016/j.scp.2026.102346&lt;/electronic-resource-num&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3</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w:t>
      </w:r>
    </w:p>
    <w:p w14:paraId="5A8DE97F" w14:textId="4D9405FE" w:rsidR="00F55D2C" w:rsidRPr="000F0CBE" w:rsidRDefault="007B498E" w:rsidP="000F0CBE">
      <w:pPr>
        <w:spacing w:after="0" w:line="240" w:lineRule="auto"/>
        <w:rPr>
          <w:rFonts w:ascii="Times New Roman" w:hAnsi="Times New Roman" w:cs="Times New Roman"/>
          <w:sz w:val="20"/>
          <w:szCs w:val="20"/>
          <w:lang w:val="en-GB"/>
        </w:rPr>
      </w:pPr>
      <w:proofErr w:type="spellStart"/>
      <w:r>
        <w:rPr>
          <w:rFonts w:ascii="Times New Roman" w:hAnsi="Times New Roman" w:cs="Times New Roman"/>
          <w:sz w:val="20"/>
          <w:szCs w:val="20"/>
          <w:lang w:val="en-GB"/>
        </w:rPr>
        <w:t>Hagenaars</w:t>
      </w:r>
      <w:proofErr w:type="spellEnd"/>
      <w:r>
        <w:rPr>
          <w:rFonts w:ascii="Times New Roman" w:hAnsi="Times New Roman" w:cs="Times New Roman"/>
          <w:sz w:val="20"/>
          <w:szCs w:val="20"/>
          <w:lang w:val="en-GB"/>
        </w:rPr>
        <w:t xml:space="preserve">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&lt;EndNote&gt;&lt;Cite&gt;&lt;Author&gt;Hagenaars&lt;/Author&gt;&lt;Year&gt;2022&lt;/Year&gt;&lt;RecNum&gt;48&lt;/RecNum&gt;&lt;DisplayText&gt;&lt;style face="superscript"&gt;2&lt;/style&gt;&lt;/DisplayText&gt;&lt;record&gt;&lt;rec-number&gt;48&lt;/rec-number&gt;&lt;foreign-keys&gt;&lt;key app="EN" db-id="z5r2svst3pad9gevvdhvwaf70xpdftwrs0ef" timestamp="1781082495"&gt;48&lt;/key&gt;&lt;/foreign-keys&gt;&lt;ref-type name="Thesis"&gt;32&lt;/ref-type&gt;&lt;contributors&gt;&lt;authors&gt;&lt;author&gt;Hagenaars, Rosalie H.&lt;/author&gt;&lt;/authors&gt;&lt;/contributors&gt;&lt;titles&gt;&lt;title&gt;An investigation into the carbon and material footprint of the Dutch consumption of pharmaceuticals&lt;/title&gt;&lt;/titles&gt;&lt;volume&gt;MSc Thesis&lt;/volume&gt;&lt;dates&gt;&lt;year&gt;2022&lt;/year&gt;&lt;/dates&gt;&lt;pub-location&gt;Leiden, The Netherlands&lt;/pub-location&gt;&lt;publisher&gt;Delft University of Technology; Leiden University&lt;/publisher&gt;&lt;urls&gt;&lt;/urls&gt;&lt;/record&gt;&lt;/Cite&gt;&lt;/EndNote&gt;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2</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found that the total environmental impacts from Dutch healthcare was 61% lower for material extraction and 11% lower for greenhouse gas emissions, when adjusting the pharmaceutical expenditure to an </w:t>
      </w:r>
      <w:proofErr w:type="spellStart"/>
      <w:r>
        <w:rPr>
          <w:rFonts w:ascii="Times New Roman" w:hAnsi="Times New Roman" w:cs="Times New Roman"/>
          <w:sz w:val="20"/>
          <w:szCs w:val="20"/>
          <w:lang w:val="en-GB"/>
        </w:rPr>
        <w:t>exiobase</w:t>
      </w:r>
      <w:proofErr w:type="spellEnd"/>
      <w:r>
        <w:rPr>
          <w:rFonts w:ascii="Times New Roman" w:hAnsi="Times New Roman" w:cs="Times New Roman"/>
          <w:sz w:val="20"/>
          <w:szCs w:val="20"/>
          <w:lang w:val="en-GB"/>
        </w:rPr>
        <w:t xml:space="preserve"> category closer aligned with pharmaceuticals instead of the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category. Meanwhile, the aggregation of </w:t>
      </w:r>
      <w:r>
        <w:rPr>
          <w:rFonts w:ascii="Times New Roman" w:hAnsi="Times New Roman" w:cs="Times New Roman"/>
          <w:i/>
          <w:iCs/>
          <w:sz w:val="20"/>
          <w:szCs w:val="20"/>
          <w:lang w:val="en-GB"/>
        </w:rPr>
        <w:t>pharmaceuticals and chemical products</w:t>
      </w:r>
      <w:r>
        <w:rPr>
          <w:rFonts w:ascii="Times New Roman" w:hAnsi="Times New Roman" w:cs="Times New Roman"/>
          <w:sz w:val="20"/>
          <w:szCs w:val="20"/>
          <w:lang w:val="en-GB"/>
        </w:rPr>
        <w:t xml:space="preserve"> represent more than pharmaceuticals; it also represents emissions from healthcare services and possibly other activities. </w:t>
      </w:r>
    </w:p>
    <w:p w14:paraId="114387F4" w14:textId="77777777" w:rsidR="00F55D2C" w:rsidRDefault="00EE1BD3"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In summary, the error margin for using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varies by impact category and allocation structure and cannot be robustly quantified within the present framework. Consequently, no quantitative correction factor was applied, and results related to pharmaceuticals are interpreted as indicative of chemically intensive supply chains rather than pharmaceutical</w:t>
      </w:r>
      <w:r>
        <w:rPr>
          <w:rFonts w:ascii="Times New Roman" w:hAnsi="Times New Roman" w:cs="Times New Roman"/>
          <w:sz w:val="20"/>
          <w:szCs w:val="20"/>
          <w:lang w:val="en-GB"/>
        </w:rPr>
        <w:noBreakHyphen/>
        <w:t xml:space="preserve">specific production alone. </w:t>
      </w:r>
    </w:p>
    <w:p w14:paraId="66C354CF" w14:textId="77777777" w:rsidR="000F0CBE" w:rsidRPr="000F0CBE" w:rsidRDefault="000F0CBE" w:rsidP="000F0CBE">
      <w:pPr>
        <w:spacing w:after="0" w:line="240" w:lineRule="auto"/>
        <w:rPr>
          <w:rFonts w:ascii="Times New Roman" w:hAnsi="Times New Roman" w:cs="Times New Roman"/>
          <w:sz w:val="20"/>
          <w:szCs w:val="20"/>
          <w:lang w:val="en-GB"/>
        </w:rPr>
      </w:pPr>
    </w:p>
    <w:p w14:paraId="6E9979BD" w14:textId="77777777" w:rsidR="00962036" w:rsidRPr="000F0CBE" w:rsidRDefault="00980913"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Healthcare final demand in further detail </w:t>
      </w:r>
    </w:p>
    <w:p w14:paraId="10E0411F" w14:textId="77777777" w:rsidR="00326581" w:rsidRPr="000F0CBE" w:rsidRDefault="0032658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xml:space="preserve">) Healthcare services include the delivery of health services by hospitals, outpatient clinics, general practitioners, and other healthcare providers, covering labour intensive clinical activities as well as associated institutional services, (ii) Pharmaceutical products and other medical products includes the manufacturing and upstream supply of pharmaceuticals, vaccines, diagnostic reagents, consumables, and other chemically based medical products used in prevention, diagnosis, and treatment, and (iii) Therapeutic appliances and equipment, which comprise medical devices and durable equipment such as diagnostic imaging equipment, surgical instruments, implants, and other specialised medical technologies. </w:t>
      </w:r>
    </w:p>
    <w:p w14:paraId="062F06AD" w14:textId="77777777" w:rsidR="008262E8" w:rsidRDefault="008262E8" w:rsidP="000F0CBE">
      <w:p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The following is a list of expenditures from the Danish SUT (2019) that were summed for each of the three expenditure categories: </w:t>
      </w:r>
    </w:p>
    <w:p w14:paraId="551FC81A" w14:textId="77777777" w:rsidR="000F0CBE" w:rsidRPr="000F0CBE" w:rsidRDefault="000F0CBE" w:rsidP="000F0CBE">
      <w:pPr>
        <w:spacing w:after="0" w:line="240" w:lineRule="auto"/>
        <w:rPr>
          <w:rFonts w:ascii="Times New Roman" w:hAnsi="Times New Roman" w:cs="Times New Roman"/>
          <w:i/>
          <w:iCs/>
          <w:sz w:val="20"/>
          <w:szCs w:val="20"/>
          <w:lang w:val="en-GB"/>
        </w:rPr>
      </w:pPr>
    </w:p>
    <w:p w14:paraId="3F4C828F"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Healthcare services: </w:t>
      </w:r>
    </w:p>
    <w:p w14:paraId="75397E1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39A81A64"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010951E9"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Hospital services, 06300 </w:t>
      </w:r>
    </w:p>
    <w:p w14:paraId="5D981A7B"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Retirement homes, day-care centres etc., 12401 </w:t>
      </w:r>
    </w:p>
    <w:p w14:paraId="2F3CBB6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47EF0243"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3736B0FD"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Non-market individual government </w:t>
      </w:r>
      <w:proofErr w:type="spellStart"/>
      <w:proofErr w:type="gramStart"/>
      <w:r>
        <w:rPr>
          <w:rFonts w:ascii="Times New Roman" w:hAnsi="Times New Roman" w:cs="Times New Roman"/>
          <w:sz w:val="20"/>
          <w:szCs w:val="20"/>
          <w:lang w:val="en-GB"/>
        </w:rPr>
        <w:t>consumption,Transaction</w:t>
      </w:r>
      <w:proofErr w:type="spellEnd"/>
      <w:proofErr w:type="gramEnd"/>
      <w:r>
        <w:rPr>
          <w:rFonts w:ascii="Times New Roman" w:hAnsi="Times New Roman" w:cs="Times New Roman"/>
          <w:sz w:val="20"/>
          <w:szCs w:val="20"/>
          <w:lang w:val="en-GB"/>
        </w:rPr>
        <w:t xml:space="preserve"> code 3142 </w:t>
      </w:r>
    </w:p>
    <w:p w14:paraId="48309BEC"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Out-patient services, 06200 </w:t>
      </w:r>
    </w:p>
    <w:p w14:paraId="0BDA878D"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Hospital services, 06300 </w:t>
      </w:r>
    </w:p>
    <w:p w14:paraId="598EE564"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NPISH, Transaction code 3130 </w:t>
      </w:r>
    </w:p>
    <w:p w14:paraId="5A031DDF" w14:textId="77777777" w:rsidR="008262E8" w:rsidRPr="000F0CBE" w:rsidRDefault="008262E8" w:rsidP="000F0CBE">
      <w:pPr>
        <w:pStyle w:val="ListParagraph"/>
        <w:numPr>
          <w:ilvl w:val="2"/>
          <w:numId w:val="17"/>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Retirement homes, day-care centres etc., 12401 </w:t>
      </w:r>
    </w:p>
    <w:p w14:paraId="449DC71B"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Pharmaceutical products and other medical products: </w:t>
      </w:r>
    </w:p>
    <w:p w14:paraId="73EC4181"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4999E4E1" w14:textId="77777777" w:rsidR="008262E8" w:rsidRPr="000F0CBE" w:rsidRDefault="008262E8" w:rsidP="000F0CBE">
      <w:pPr>
        <w:pStyle w:val="ListParagraph"/>
        <w:numPr>
          <w:ilvl w:val="2"/>
          <w:numId w:val="16"/>
        </w:num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Pharmaceutical products and other medical products, Transaction code 06112 </w:t>
      </w:r>
    </w:p>
    <w:p w14:paraId="2FEE5EAF"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66B33C55" w14:textId="77777777" w:rsidR="008262E8" w:rsidRPr="000F0CBE" w:rsidRDefault="008262E8" w:rsidP="000F0CBE">
      <w:pPr>
        <w:pStyle w:val="ListParagraph"/>
        <w:numPr>
          <w:ilvl w:val="2"/>
          <w:numId w:val="16"/>
        </w:num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Pharmaceutical products and other medical products, Transaction code 06112 </w:t>
      </w:r>
    </w:p>
    <w:p w14:paraId="051E8424" w14:textId="77777777" w:rsidR="008262E8" w:rsidRPr="000F0CBE" w:rsidRDefault="008262E8" w:rsidP="000F0CBE">
      <w:pPr>
        <w:pStyle w:val="ListParagraph"/>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Therapeutic appliances and equipment </w:t>
      </w:r>
    </w:p>
    <w:p w14:paraId="7EC004D5"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Household consumption, Transaction code 3110 </w:t>
      </w:r>
    </w:p>
    <w:p w14:paraId="27866295"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6980A3B3"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Marketed individual government consumption, Transaction code 3141 </w:t>
      </w:r>
    </w:p>
    <w:p w14:paraId="0715055D"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4C7B7383" w14:textId="77777777" w:rsidR="008262E8" w:rsidRPr="000F0CBE" w:rsidRDefault="008262E8" w:rsidP="000F0CBE">
      <w:pPr>
        <w:pStyle w:val="ListParagraph"/>
        <w:spacing w:after="0" w:line="240" w:lineRule="auto"/>
        <w:ind w:left="1440"/>
        <w:rPr>
          <w:rFonts w:ascii="Times New Roman" w:hAnsi="Times New Roman" w:cs="Times New Roman"/>
          <w:sz w:val="20"/>
          <w:szCs w:val="20"/>
          <w:lang w:val="en-GB"/>
        </w:rPr>
      </w:pPr>
      <w:r>
        <w:rPr>
          <w:rFonts w:ascii="Times New Roman" w:hAnsi="Times New Roman" w:cs="Times New Roman"/>
          <w:sz w:val="20"/>
          <w:szCs w:val="20"/>
          <w:lang w:val="en-GB"/>
        </w:rPr>
        <w:t xml:space="preserve">Non-market individual government consumption, Transaction code 3142 </w:t>
      </w:r>
    </w:p>
    <w:p w14:paraId="370B414E" w14:textId="77777777" w:rsidR="008262E8" w:rsidRPr="000F0CBE" w:rsidRDefault="008262E8" w:rsidP="000F0CBE">
      <w:pPr>
        <w:pStyle w:val="ListParagraph"/>
        <w:numPr>
          <w:ilvl w:val="2"/>
          <w:numId w:val="16"/>
        </w:numPr>
        <w:spacing w:after="0" w:line="240" w:lineRule="auto"/>
        <w:rPr>
          <w:rFonts w:ascii="Times New Roman" w:hAnsi="Times New Roman" w:cs="Times New Roman"/>
          <w:sz w:val="20"/>
          <w:szCs w:val="20"/>
          <w:lang w:val="en-GB"/>
        </w:rPr>
      </w:pPr>
      <w:r>
        <w:rPr>
          <w:rFonts w:ascii="Times New Roman" w:hAnsi="Times New Roman" w:cs="Times New Roman"/>
          <w:i/>
          <w:iCs/>
          <w:sz w:val="20"/>
          <w:szCs w:val="20"/>
          <w:lang w:val="en-GB"/>
        </w:rPr>
        <w:t xml:space="preserve">Therapeutic appliances and equipment, 06130 </w:t>
      </w:r>
    </w:p>
    <w:p w14:paraId="45D52993" w14:textId="77777777" w:rsidR="000F0CBE" w:rsidRPr="000F0CBE" w:rsidRDefault="000F0CBE" w:rsidP="000F0CBE">
      <w:pPr>
        <w:pStyle w:val="ListParagraph"/>
        <w:numPr>
          <w:ilvl w:val="2"/>
          <w:numId w:val="16"/>
        </w:numPr>
        <w:spacing w:after="0" w:line="240" w:lineRule="auto"/>
        <w:rPr>
          <w:rFonts w:ascii="Times New Roman" w:hAnsi="Times New Roman" w:cs="Times New Roman"/>
          <w:sz w:val="20"/>
          <w:szCs w:val="20"/>
          <w:lang w:val="en-GB"/>
        </w:rPr>
      </w:pPr>
    </w:p>
    <w:p w14:paraId="1DA8B6E2" w14:textId="3E0E7B4E" w:rsidR="008262E8" w:rsidRPr="000F0CBE" w:rsidRDefault="008262E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Values were converted from DKK to Millions of </w:t>
      </w:r>
      <w:proofErr w:type="gramStart"/>
      <w:r>
        <w:rPr>
          <w:rFonts w:ascii="Times New Roman" w:hAnsi="Times New Roman" w:cs="Times New Roman"/>
          <w:sz w:val="20"/>
          <w:szCs w:val="20"/>
          <w:lang w:val="en-GB"/>
        </w:rPr>
        <w:t>Euro</w:t>
      </w:r>
      <w:proofErr w:type="gramEnd"/>
      <w:r>
        <w:rPr>
          <w:rFonts w:ascii="Times New Roman" w:hAnsi="Times New Roman" w:cs="Times New Roman"/>
          <w:sz w:val="20"/>
          <w:szCs w:val="20"/>
          <w:lang w:val="en-GB"/>
        </w:rPr>
        <w:t xml:space="preserve"> (MEUR) at an exchange rate of 7·45 DKK/EUR </w:t>
      </w:r>
    </w:p>
    <w:p w14:paraId="6C7CC4B4" w14:textId="77777777" w:rsidR="003C0BF0" w:rsidRPr="000F0CBE" w:rsidRDefault="003C0BF0" w:rsidP="000F0CBE">
      <w:pPr>
        <w:spacing w:after="0"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Included from the Bottom-up analysis </w:t>
      </w:r>
    </w:p>
    <w:p w14:paraId="09932DF9" w14:textId="77777777" w:rsidR="000F0CBE" w:rsidRDefault="000F0CBE" w:rsidP="000F0CBE">
      <w:pPr>
        <w:spacing w:after="0" w:line="240" w:lineRule="auto"/>
        <w:rPr>
          <w:rFonts w:ascii="Times New Roman" w:hAnsi="Times New Roman" w:cs="Times New Roman"/>
          <w:sz w:val="20"/>
          <w:szCs w:val="20"/>
          <w:lang w:val="en-GB"/>
        </w:rPr>
      </w:pPr>
    </w:p>
    <w:p w14:paraId="6E57513E" w14:textId="4C9D2C49" w:rsidR="003C0BF0" w:rsidRPr="000F0CBE" w:rsidRDefault="00D22A46"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Nitrous Oxide (N₂O) and pressurised metered-dose inhalers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t>
      </w:r>
    </w:p>
    <w:p w14:paraId="26D4A2AC" w14:textId="77777777" w:rsidR="000F0CBE" w:rsidRDefault="003C0BF0"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Private travel (commuting, and patients and visitors) </w:t>
      </w:r>
    </w:p>
    <w:p w14:paraId="467170BC" w14:textId="77777777" w:rsidR="000F0CBE" w:rsidRPr="000F0CBE" w:rsidRDefault="000F0CBE" w:rsidP="000F0CBE">
      <w:pPr>
        <w:spacing w:after="0" w:line="240" w:lineRule="auto"/>
        <w:rPr>
          <w:rFonts w:ascii="Times New Roman" w:hAnsi="Times New Roman" w:cs="Times New Roman"/>
          <w:sz w:val="20"/>
          <w:szCs w:val="20"/>
          <w:lang w:val="en-GB"/>
        </w:rPr>
      </w:pPr>
    </w:p>
    <w:p w14:paraId="08FEA462" w14:textId="77777777" w:rsidR="003C0BF0" w:rsidRPr="000F0CBE" w:rsidRDefault="003C0BF0"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Excluded: </w:t>
      </w:r>
    </w:p>
    <w:p w14:paraId="2BF4ED0A" w14:textId="77777777" w:rsidR="003C0BF0" w:rsidRPr="000F0CBE" w:rsidRDefault="003C0BF0" w:rsidP="000F0CBE">
      <w:p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GFCF (infrastructure and durable equipment) </w:t>
      </w:r>
    </w:p>
    <w:p w14:paraId="6E365D44" w14:textId="77777777" w:rsidR="001D7235" w:rsidRPr="000F0CBE" w:rsidRDefault="001D7235" w:rsidP="000F0CBE">
      <w:pPr>
        <w:spacing w:line="240" w:lineRule="auto"/>
        <w:rPr>
          <w:rFonts w:ascii="Times New Roman" w:hAnsi="Times New Roman" w:cs="Times New Roman"/>
          <w:b/>
          <w:bCs/>
          <w:sz w:val="20"/>
          <w:szCs w:val="20"/>
          <w:lang w:val="en-GB"/>
        </w:rPr>
      </w:pPr>
    </w:p>
    <w:p w14:paraId="36A4E23B" w14:textId="77777777" w:rsidR="00427B23" w:rsidRPr="000F0CBE" w:rsidRDefault="00D35D6F" w:rsidP="000F0CBE">
      <w:pPr>
        <w:spacing w:line="240" w:lineRule="auto"/>
        <w:rPr>
          <w:rFonts w:ascii="Times New Roman" w:hAnsi="Times New Roman" w:cs="Times New Roman"/>
          <w:b/>
          <w:bCs/>
          <w:sz w:val="20"/>
          <w:szCs w:val="20"/>
          <w:lang w:val="en-GB"/>
        </w:rPr>
      </w:pPr>
      <w:proofErr w:type="spellStart"/>
      <w:r>
        <w:rPr>
          <w:rFonts w:ascii="Times New Roman" w:hAnsi="Times New Roman" w:cs="Times New Roman"/>
          <w:b/>
          <w:bCs/>
          <w:sz w:val="20"/>
          <w:szCs w:val="20"/>
          <w:lang w:val="en-GB"/>
        </w:rPr>
        <w:t>Exiobase</w:t>
      </w:r>
      <w:proofErr w:type="spellEnd"/>
      <w:r>
        <w:rPr>
          <w:rFonts w:ascii="Times New Roman" w:hAnsi="Times New Roman" w:cs="Times New Roman"/>
          <w:b/>
          <w:bCs/>
          <w:sz w:val="20"/>
          <w:szCs w:val="20"/>
          <w:lang w:val="en-GB"/>
        </w:rPr>
        <w:t xml:space="preserve"> integration </w:t>
      </w:r>
    </w:p>
    <w:p w14:paraId="6E87B3E4" w14:textId="77777777" w:rsidR="00427B23" w:rsidRPr="000F0CBE" w:rsidRDefault="00D35D6F"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three expenditure categories were classified to corresponding EXIOBASE sectors </w:t>
      </w:r>
    </w:p>
    <w:p w14:paraId="670D3673"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HC.1-HC.9 (excl.HC.5) represented by Health and Social Work </w:t>
      </w:r>
    </w:p>
    <w:p w14:paraId="00EEC71A"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HC.51 represented by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 xml:space="preserve"> </w:t>
      </w:r>
    </w:p>
    <w:p w14:paraId="6358E472" w14:textId="77777777" w:rsidR="003D547D" w:rsidRPr="000F0CBE" w:rsidRDefault="003D547D" w:rsidP="000F0CBE">
      <w:pPr>
        <w:pStyle w:val="ListParagraph"/>
        <w:numPr>
          <w:ilvl w:val="0"/>
          <w:numId w:val="10"/>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HC.52 represented by </w:t>
      </w:r>
      <w:proofErr w:type="gramStart"/>
      <w:r>
        <w:rPr>
          <w:rFonts w:ascii="Times New Roman" w:hAnsi="Times New Roman" w:cs="Times New Roman"/>
          <w:sz w:val="20"/>
          <w:szCs w:val="20"/>
          <w:lang w:val="en-GB"/>
        </w:rPr>
        <w:t>Medical</w:t>
      </w:r>
      <w:proofErr w:type="gramEnd"/>
      <w:r>
        <w:rPr>
          <w:rFonts w:ascii="Times New Roman" w:hAnsi="Times New Roman" w:cs="Times New Roman"/>
          <w:sz w:val="20"/>
          <w:szCs w:val="20"/>
          <w:lang w:val="en-GB"/>
        </w:rPr>
        <w:t xml:space="preserve"> precision and optical instruments </w:t>
      </w:r>
    </w:p>
    <w:p w14:paraId="6440C580" w14:textId="77777777" w:rsidR="00427B23" w:rsidRPr="000F0CBE" w:rsidRDefault="00427B23" w:rsidP="000F0CBE">
      <w:pPr>
        <w:spacing w:line="240" w:lineRule="auto"/>
        <w:rPr>
          <w:rFonts w:ascii="Times New Roman" w:hAnsi="Times New Roman" w:cs="Times New Roman"/>
          <w:sz w:val="20"/>
          <w:szCs w:val="20"/>
          <w:lang w:val="en-GB"/>
        </w:rPr>
      </w:pPr>
    </w:p>
    <w:p w14:paraId="23E5ADDF" w14:textId="77777777" w:rsidR="00427B23" w:rsidRPr="000F0CBE" w:rsidRDefault="00542D69" w:rsidP="000F0CBE">
      <w:pPr>
        <w:spacing w:line="240" w:lineRule="auto"/>
        <w:rPr>
          <w:rFonts w:ascii="Times New Roman" w:hAnsi="Times New Roman" w:cs="Times New Roman"/>
          <w:sz w:val="20"/>
          <w:szCs w:val="20"/>
          <w:lang w:val="en-GB"/>
        </w:rPr>
      </w:pPr>
      <w:r>
        <w:rPr>
          <w:rFonts w:ascii="Times New Roman" w:hAnsi="Times New Roman" w:cs="Times New Roman"/>
          <w:noProof/>
          <w:sz w:val="20"/>
          <w:szCs w:val="20"/>
          <w:lang w:val="en-GB"/>
        </w:rPr>
        <w:drawing>
          <wp:inline distT="0" distB="0" distL="0" distR="0" wp14:anchorId="7A6AE528" wp14:editId="19DE39D1">
            <wp:extent cx="6120130" cy="2037080"/>
            <wp:effectExtent l="0" t="0" r="0" b="1270"/>
            <wp:docPr id="502695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95621" name=""/>
                    <pic:cNvPicPr/>
                  </pic:nvPicPr>
                  <pic:blipFill>
                    <a:blip r:embed="rId11"/>
                    <a:stretch>
                      <a:fillRect/>
                    </a:stretch>
                  </pic:blipFill>
                  <pic:spPr>
                    <a:xfrm>
                      <a:off x="0" y="0"/>
                      <a:ext cx="6120130" cy="2037080"/>
                    </a:xfrm>
                    <a:prstGeom prst="rect">
                      <a:avLst/>
                    </a:prstGeom>
                  </pic:spPr>
                </pic:pic>
              </a:graphicData>
            </a:graphic>
          </wp:inline>
        </w:drawing>
      </w:r>
    </w:p>
    <w:p w14:paraId="3D4C0CD8" w14:textId="77777777" w:rsidR="008E041B" w:rsidRPr="000F0CBE" w:rsidRDefault="008E041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Figure A1: Integration of Danish Supply–Use Tables with EXIOBASE in five steps: (</w:t>
      </w:r>
      <w:proofErr w:type="spellStart"/>
      <w:r>
        <w:rPr>
          <w:rFonts w:ascii="Times New Roman" w:hAnsi="Times New Roman" w:cs="Times New Roman"/>
          <w:i/>
          <w:iCs/>
          <w:sz w:val="20"/>
          <w:szCs w:val="20"/>
          <w:lang w:val="en-GB"/>
        </w:rPr>
        <w:t>i</w:t>
      </w:r>
      <w:proofErr w:type="spellEnd"/>
      <w:r>
        <w:rPr>
          <w:rFonts w:ascii="Times New Roman" w:hAnsi="Times New Roman" w:cs="Times New Roman"/>
          <w:i/>
          <w:iCs/>
          <w:sz w:val="20"/>
          <w:szCs w:val="20"/>
          <w:lang w:val="en-GB"/>
        </w:rPr>
        <w:t xml:space="preserve">) summarising Danish healthcare expenditures, (ii) aggregating them into SHA-based categories, (iii) mapping these to corresponding EXIOBASE sectors, (iv) combining with environmental extensions using </w:t>
      </w:r>
      <w:proofErr w:type="spellStart"/>
      <w:r>
        <w:rPr>
          <w:rFonts w:ascii="Times New Roman" w:hAnsi="Times New Roman" w:cs="Times New Roman"/>
          <w:i/>
          <w:iCs/>
          <w:sz w:val="20"/>
          <w:szCs w:val="20"/>
          <w:lang w:val="en-GB"/>
        </w:rPr>
        <w:t>Steenmeijer</w:t>
      </w:r>
      <w:proofErr w:type="spellEnd"/>
      <w:r>
        <w:rPr>
          <w:rFonts w:ascii="Times New Roman" w:hAnsi="Times New Roman" w:cs="Times New Roman"/>
          <w:i/>
          <w:iCs/>
          <w:sz w:val="20"/>
          <w:szCs w:val="20"/>
          <w:lang w:val="en-GB"/>
        </w:rPr>
        <w:t xml:space="preserve"> et al.’s edited code base, and (v) aggregating outputs into sectoral, geographical, and contribution analyses, as well as a scope-based summary. </w:t>
      </w:r>
    </w:p>
    <w:p w14:paraId="2995833A" w14:textId="77777777" w:rsidR="000737F6" w:rsidRPr="000F0CBE" w:rsidRDefault="000737F6"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Direct emissions </w:t>
      </w:r>
    </w:p>
    <w:p w14:paraId="67D809DB" w14:textId="77777777" w:rsidR="00A91535" w:rsidRPr="000F0CBE" w:rsidRDefault="00FD51B4" w:rsidP="000F0CBE">
      <w:pPr>
        <w:spacing w:line="240" w:lineRule="auto"/>
        <w:rPr>
          <w:rFonts w:ascii="Times New Roman" w:hAnsi="Times New Roman" w:cs="Times New Roman"/>
          <w:sz w:val="20"/>
          <w:szCs w:val="20"/>
          <w:lang w:val="en-GB"/>
        </w:rPr>
      </w:pPr>
      <w:r>
        <w:rPr>
          <w:rFonts w:ascii="Times New Roman" w:eastAsiaTheme="minorEastAsia" w:hAnsi="Times New Roman" w:cs="Times New Roman"/>
          <w:sz w:val="20"/>
          <w:szCs w:val="20"/>
          <w:lang w:val="en-GB"/>
        </w:rPr>
        <w:t>To integrate bottom‑up estimates, two different approaches were used. For most categories (</w:t>
      </w:r>
      <w:proofErr w:type="spellStart"/>
      <w:r>
        <w:rPr>
          <w:rFonts w:ascii="Times New Roman" w:eastAsiaTheme="minorEastAsia" w:hAnsi="Times New Roman" w:cs="Times New Roman"/>
          <w:sz w:val="20"/>
          <w:szCs w:val="20"/>
          <w:lang w:val="en-GB"/>
        </w:rPr>
        <w:t>pMDIs</w:t>
      </w:r>
      <w:proofErr w:type="spellEnd"/>
      <w:r>
        <w:rPr>
          <w:rFonts w:ascii="Times New Roman" w:eastAsiaTheme="minorEastAsia" w:hAnsi="Times New Roman" w:cs="Times New Roman"/>
          <w:sz w:val="20"/>
          <w:szCs w:val="20"/>
          <w:lang w:val="en-GB"/>
        </w:rPr>
        <w:t xml:space="preserve"> and transport), Danish values were obtained by scaling Dutch estimates from </w:t>
      </w:r>
      <w:proofErr w:type="spellStart"/>
      <w:r>
        <w:rPr>
          <w:rFonts w:ascii="Times New Roman" w:eastAsiaTheme="minorEastAsia" w:hAnsi="Times New Roman" w:cs="Times New Roman"/>
          <w:sz w:val="20"/>
          <w:szCs w:val="20"/>
          <w:lang w:val="en-GB"/>
        </w:rPr>
        <w:t>Steenmeijer</w:t>
      </w:r>
      <w:proofErr w:type="spellEnd"/>
      <w:r>
        <w:rPr>
          <w:rFonts w:ascii="Times New Roman" w:eastAsiaTheme="minorEastAsia" w:hAnsi="Times New Roman" w:cs="Times New Roman"/>
          <w:sz w:val="20"/>
          <w:szCs w:val="20"/>
          <w:lang w:val="en-GB"/>
        </w:rPr>
        <w:t xml:space="preserve"> et al. using activity‑based ratios. In contrast, nitrous oxide emissions were first calculated directly from Danish data and then converted into a scaling factor relative to the Dutch value. This conversion was necessary because the computational framework applies Danish adjustments by </w:t>
      </w:r>
      <w:r>
        <w:rPr>
          <w:rFonts w:ascii="Times New Roman" w:eastAsiaTheme="minorEastAsia" w:hAnsi="Times New Roman" w:cs="Times New Roman"/>
          <w:sz w:val="20"/>
          <w:szCs w:val="20"/>
          <w:lang w:val="en-GB"/>
        </w:rPr>
        <w:lastRenderedPageBreak/>
        <w:t xml:space="preserve">scaling a Dutch baseline dataset across all impact categories; therefore, all inputs must be expressed as multiplicative factors rather than absolute values. </w:t>
      </w:r>
    </w:p>
    <w:p w14:paraId="65FF02D4" w14:textId="77777777" w:rsidR="005F5BFB" w:rsidRPr="000F0CBE" w:rsidRDefault="005F5BF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Nitrous Oxide </w:t>
      </w:r>
    </w:p>
    <w:p w14:paraId="031C6AEB" w14:textId="44B8DB43"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Data available: Number of births in the Region of Southern Denmark, total number of births in Denmark, and amount of N₂O purchased by the former. The difference in number of births was applied as a ratio to estimate the amount of N₂O purchased on a national level. Uncertainties depend on whether the usage of N₂O is equally distributed across Denmark and whether number of births can function as a proxy for amount of N₂O purchased. We based the assumption on childbirth being the primary usage of N₂O. </w:t>
      </w:r>
    </w:p>
    <w:p w14:paraId="743E5C0F" w14:textId="52C8D86B"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ratio was calculated based on the total number of births in Denmark divided by the number of births in the region of southern Denmark, which was thereafter multiplied with the amount of N₂O purchased by the Region of Southern Denmark. Finally, the greenhouse gas emissions in carbon dioxide equivalents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were calculated by multiplying N₂O emissions with its respective emission factor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&lt;EndNote&gt;&lt;Cite&gt;&lt;Author&gt;Intergovernmental Panel on Climate Change&lt;/Author&gt;&lt;Year&gt;2023&lt;/Year&gt;&lt;RecNum&gt;13&lt;/RecNum&gt;&lt;DisplayText&gt;&lt;style face="superscript"&gt;4&lt;/style&gt;&lt;/DisplayText&gt;&lt;record&gt;&lt;rec-number&gt;13&lt;/rec-number&gt;&lt;foreign-keys&gt;&lt;key app="EN" db-id="z5r2svst3pad9gevvdhvwaf70xpdftwrs0ef" timestamp="1780911564"&gt;13&lt;/key&gt;&lt;/foreign-keys&gt;&lt;ref-type name="Report"&gt;27&lt;/ref-type&gt;&lt;contributors&gt;&lt;authors&gt;&lt;author&gt;Intergovernmental Panel on Climate Change,&lt;/author&gt;&lt;/authors&gt;&lt;/contributors&gt;&lt;titles&gt;&lt;title&gt;Climate Change 2023: Synthesis Report&lt;/title&gt;&lt;/titles&gt;&lt;dates&gt;&lt;year&gt;2023&lt;/year&gt;&lt;/dates&gt;&lt;publisher&gt;IPCC&lt;/publisher&gt;&lt;urls&gt;&lt;/urls&gt;&lt;/record&gt;&lt;/Cite&gt;&lt;/EndNote&gt;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4</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w:t>
      </w:r>
    </w:p>
    <w:p w14:paraId="175EAF7A"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Total Danish N₂O impacts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 xml:space="preserve">x Regional N₂O purchased x N₂O emission factor </m:t>
        </m:r>
      </m:oMath>
      <w:r>
        <w:tab/>
        <w:t>(A4)</w:t>
      </w:r>
    </w:p>
    <w:p w14:paraId="267EA7D3" w14:textId="77777777" w:rsidR="005F5BFB" w:rsidRPr="000F0CBE" w:rsidRDefault="005F5BFB" w:rsidP="000F0CBE">
      <w:pPr>
        <w:spacing w:line="240" w:lineRule="auto"/>
        <w:rPr>
          <w:rFonts w:ascii="Times New Roman" w:hAnsi="Times New Roman" w:cs="Times New Roman"/>
          <w:sz w:val="20"/>
          <w:szCs w:val="20"/>
          <w:lang w:val="en-GB"/>
        </w:rPr>
      </w:pPr>
    </w:p>
    <w:p w14:paraId="63F90E96" w14:textId="77777777"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Regional births (Region South): 11,095 </w:t>
      </w:r>
    </w:p>
    <w:p w14:paraId="64B16E86" w14:textId="77777777"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National births (Denmark): 58,438 </w:t>
      </w:r>
    </w:p>
    <w:p w14:paraId="05EA0950" w14:textId="02C08504" w:rsidR="005F5BFB" w:rsidRPr="000F0CBE" w:rsidRDefault="005F5BF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Regional N₂O purchased (Region South): 6,063·42 kg </w:t>
      </w:r>
    </w:p>
    <w:p w14:paraId="7E73F47C" w14:textId="77777777" w:rsidR="005F5BFB" w:rsidRPr="000F0CBE" w:rsidRDefault="00A6047B" w:rsidP="00FA3B3F">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Ratio: </w:t>
      </w:r>
    </w:p>
    <w:p w14:paraId="4177429E"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Ratio</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National births</m:t>
            </m:r>
          </m:num>
          <m:den>
            <m:r>
              <m:rPr>
                <m:nor/>
              </m:rPr>
              <w:rPr>
                <w:rFonts w:ascii="Cambria Math" w:hAnsi="Cambria Math" w:cs="Times New Roman"/>
                <w:i/>
                <w:iCs/>
                <w:sz w:val="20"/>
                <w:szCs w:val="20"/>
                <w:lang w:val="en-GB"/>
              </w:rPr>
              <m:t>Regional births</m:t>
            </m:r>
          </m:den>
        </m:f>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Cambria Math" w:hAnsi="Cambria Math" w:cs="Times New Roman"/>
                <w:i/>
                <w:iCs/>
                <w:sz w:val="20"/>
                <w:szCs w:val="20"/>
                <w:lang w:val="en-GB"/>
              </w:rPr>
              <m:t>58,438</m:t>
            </m:r>
          </m:num>
          <m:den>
            <m:r>
              <m:rPr>
                <m:nor/>
              </m:rPr>
              <w:rPr>
                <w:rFonts w:ascii="Cambria Math" w:hAnsi="Cambria Math" w:cs="Times New Roman"/>
                <w:i/>
                <w:iCs/>
                <w:sz w:val="20"/>
                <w:szCs w:val="20"/>
                <w:lang w:val="en-GB"/>
              </w:rPr>
              <m:t>11,095</m:t>
            </m:r>
          </m:den>
        </m:f>
        <m:r>
          <w:rPr>
            <w:rFonts w:ascii="Cambria Math" w:hAnsi="Cambria Math" w:cs="Times New Roman"/>
            <w:sz w:val="20"/>
            <w:szCs w:val="20"/>
            <w:lang w:val="en-GB"/>
          </w:rPr>
          <m:t xml:space="preserve">≈5.267 </m:t>
        </m:r>
      </m:oMath>
      <w:r>
        <w:tab/>
        <w:t>(A5)</w:t>
      </w:r>
    </w:p>
    <w:p w14:paraId="17436DC2" w14:textId="77777777" w:rsidR="008B01D8" w:rsidRPr="000F0CBE" w:rsidRDefault="008B01D8" w:rsidP="000F0CBE">
      <w:pPr>
        <w:spacing w:line="240" w:lineRule="auto"/>
        <w:rPr>
          <w:rFonts w:ascii="Times New Roman" w:hAnsi="Times New Roman" w:cs="Times New Roman"/>
          <w:sz w:val="20"/>
          <w:szCs w:val="20"/>
          <w:lang w:val="en-GB"/>
        </w:rPr>
      </w:pPr>
    </w:p>
    <w:p w14:paraId="10D67476" w14:textId="77777777"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Scaled national N₂O: </w:t>
      </w:r>
    </w:p>
    <w:p w14:paraId="0E3E8333" w14:textId="77777777" w:rsidR="004C3780" w:rsidRDefault="00FD10E8">
      <w:pPr>
        <w:tabs>
          <w:tab w:val="center" w:pos="4819"/>
          <w:tab w:val="right" w:pos="9638"/>
        </w:tabs>
      </w:pPr>
      <w:r>
        <w:tab/>
      </w:r>
      <m:oMath>
        <m:r>
          <m:rPr>
            <m:nor/>
          </m:rPr>
          <w:rPr>
            <w:rFonts w:ascii="Times New Roman" w:hAnsi="Times New Roman" w:cs="Times New Roman"/>
            <w:i/>
            <w:iCs/>
            <w:sz w:val="20"/>
            <w:szCs w:val="20"/>
            <w:lang w:val="en-GB"/>
          </w:rPr>
          <m:t xml:space="preserve">National N₂O usage </m:t>
        </m:r>
        <m:r>
          <w:rPr>
            <w:rFonts w:ascii="Cambria Math" w:hAnsi="Cambria Math" w:cs="Times New Roman"/>
            <w:sz w:val="20"/>
            <w:szCs w:val="20"/>
            <w:lang w:val="en-GB"/>
          </w:rPr>
          <m:t xml:space="preserve">= Regional </m:t>
        </m:r>
        <m:sSup>
          <m:sSupPr>
            <m:ctrlPr>
              <w:rPr>
                <w:rFonts w:ascii="Cambria Math" w:hAnsi="Cambria Math" w:cs="Times New Roman"/>
                <w:i/>
                <w:iCs/>
                <w:sz w:val="20"/>
                <w:szCs w:val="20"/>
                <w:lang w:val="en-GB"/>
              </w:rPr>
            </m:ctrlPr>
          </m:sSupPr>
          <m:e>
            <m:r>
              <w:rPr>
                <w:rFonts w:ascii="Cambria Math" w:hAnsi="Cambria Math" w:cs="Times New Roman"/>
                <w:sz w:val="20"/>
                <w:szCs w:val="20"/>
                <w:lang w:val="en-GB"/>
              </w:rPr>
              <m:t>N</m:t>
            </m:r>
          </m:e>
          <m:sup>
            <m:r>
              <w:rPr>
                <w:rFonts w:ascii="Cambria Math" w:hAnsi="Cambria Math" w:cs="Times New Roman"/>
                <w:sz w:val="20"/>
                <w:szCs w:val="20"/>
                <w:lang w:val="en-GB"/>
              </w:rPr>
              <m:t>2</m:t>
            </m:r>
          </m:sup>
        </m:sSup>
        <m:r>
          <w:rPr>
            <w:rFonts w:ascii="Cambria Math" w:hAnsi="Cambria Math" w:cs="Times New Roman"/>
            <w:sz w:val="20"/>
            <w:szCs w:val="20"/>
            <w:lang w:val="en-GB"/>
          </w:rPr>
          <m:t>O purchased x Ratio=6,063x5.267≈31,936kg</m:t>
        </m:r>
      </m:oMath>
      <w:r>
        <w:tab/>
        <w:t>(A6)</w:t>
      </w:r>
    </w:p>
    <w:p w14:paraId="0F3BF513" w14:textId="77777777" w:rsidR="005F5BFB" w:rsidRPr="000F0CBE" w:rsidRDefault="005F5BF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Converted to GWP (</w:t>
      </w:r>
      <w:proofErr w:type="spellStart"/>
      <w:r>
        <w:rPr>
          <w:rFonts w:ascii="Times New Roman" w:hAnsi="Times New Roman" w:cs="Times New Roman"/>
          <w:sz w:val="20"/>
          <w:szCs w:val="20"/>
          <w:lang w:val="en-GB"/>
        </w:rPr>
        <w:t>CO₂eq</w:t>
      </w:r>
      <w:proofErr w:type="spellEnd"/>
      <w:r>
        <w:rPr>
          <w:rFonts w:ascii="Times New Roman" w:hAnsi="Times New Roman" w:cs="Times New Roman"/>
          <w:sz w:val="20"/>
          <w:szCs w:val="20"/>
          <w:lang w:val="en-GB"/>
        </w:rPr>
        <w:t xml:space="preserve">): </w:t>
      </w:r>
    </w:p>
    <w:p w14:paraId="0A35A090" w14:textId="77777777" w:rsidR="004C3780" w:rsidRDefault="00FD10E8">
      <w:pPr>
        <w:tabs>
          <w:tab w:val="center" w:pos="4819"/>
          <w:tab w:val="right" w:pos="9638"/>
        </w:tabs>
      </w:pPr>
      <w:r>
        <w:tab/>
      </w:r>
      <m:oMath>
        <m:r>
          <m:rPr>
            <m:nor/>
          </m:rPr>
          <w:rPr>
            <w:rFonts w:ascii="Cambria Math" w:hAnsi="Cambria Math" w:cs="Times New Roman"/>
            <w:i/>
            <w:iCs/>
            <w:sz w:val="20"/>
            <w:szCs w:val="20"/>
            <w:lang w:val="en-GB"/>
          </w:rPr>
          <m:t>National N₂O usage x Emission factor = 31,936 kg N₂</m:t>
        </m:r>
        <w:proofErr w:type="spellStart"/>
        <m:r>
          <m:rPr>
            <m:nor/>
          </m:rPr>
          <w:rPr>
            <w:rFonts w:ascii="Cambria Math" w:hAnsi="Cambria Math" w:cs="Times New Roman"/>
            <w:i/>
            <w:iCs/>
            <w:sz w:val="20"/>
            <w:szCs w:val="20"/>
            <w:lang w:val="en-GB"/>
          </w:rPr>
          <m:t>O  x</m:t>
        </m:r>
        <w:proofErr w:type="spellEnd"/>
        <m:r>
          <m:rPr>
            <m:nor/>
          </m:rPr>
          <w:rPr>
            <w:rFonts w:ascii="Cambria Math" w:hAnsi="Cambria Math" w:cs="Times New Roman"/>
            <w:i/>
            <w:iCs/>
            <w:sz w:val="20"/>
            <w:szCs w:val="20"/>
            <w:lang w:val="en-GB"/>
          </w:rPr>
          <m:t xml:space="preserve"> GWP100 factor (298) ≈ 9.52 kt </m:t>
        </m:r>
        <w:proofErr w:type="spellStart"/>
        <m:r>
          <m:rPr>
            <m:nor/>
          </m:rPr>
          <w:rPr>
            <w:rFonts w:ascii="Cambria Math" w:hAnsi="Cambria Math" w:cs="Times New Roman"/>
            <w:i/>
            <w:iCs/>
            <w:sz w:val="20"/>
            <w:szCs w:val="20"/>
            <w:lang w:val="en-GB"/>
          </w:rPr>
          <m:t>CO₂e</m:t>
        </m:r>
      </m:oMath>
      <w:proofErr w:type="spellEnd"/>
      <w:r>
        <w:tab/>
        <w:t>(A7)</w:t>
      </w:r>
    </w:p>
    <w:p w14:paraId="465D72CD" w14:textId="77777777" w:rsidR="00147CE0" w:rsidRPr="000F0CBE" w:rsidRDefault="00147CE0" w:rsidP="000F0CBE">
      <w:pPr>
        <w:spacing w:line="240" w:lineRule="auto"/>
        <w:rPr>
          <w:rFonts w:ascii="Times New Roman" w:eastAsiaTheme="minorEastAsia" w:hAnsi="Times New Roman" w:cs="Times New Roman"/>
          <w:sz w:val="20"/>
          <w:szCs w:val="20"/>
          <w:lang w:val="en-GB"/>
        </w:rPr>
      </w:pPr>
    </w:p>
    <w:p w14:paraId="0A0A0F0C" w14:textId="2EBB9E9B" w:rsidR="000737F6" w:rsidRPr="000F0CBE" w:rsidRDefault="000737F6" w:rsidP="000F0CBE">
      <w:pPr>
        <w:spacing w:line="240" w:lineRule="auto"/>
        <w:rPr>
          <w:rFonts w:ascii="Times New Roman" w:eastAsiaTheme="minorEastAsia" w:hAnsi="Times New Roman" w:cs="Times New Roman"/>
          <w:sz w:val="20"/>
          <w:szCs w:val="20"/>
          <w:lang w:val="en-GB"/>
        </w:rPr>
      </w:pPr>
      <w:r>
        <w:rPr>
          <w:rFonts w:ascii="Times New Roman" w:eastAsiaTheme="minorEastAsia" w:hAnsi="Times New Roman" w:cs="Times New Roman"/>
          <w:sz w:val="20"/>
          <w:szCs w:val="20"/>
          <w:lang w:val="en-GB"/>
        </w:rPr>
        <w:t xml:space="preserve">Dutch value (from </w:t>
      </w:r>
      <w:proofErr w:type="spellStart"/>
      <w:r>
        <w:rPr>
          <w:rFonts w:ascii="Times New Roman" w:eastAsiaTheme="minorEastAsia" w:hAnsi="Times New Roman" w:cs="Times New Roman"/>
          <w:sz w:val="20"/>
          <w:szCs w:val="20"/>
          <w:lang w:val="en-GB"/>
        </w:rPr>
        <w:t>Steenmeijer</w:t>
      </w:r>
      <w:proofErr w:type="spellEnd"/>
      <w:r>
        <w:rPr>
          <w:rFonts w:ascii="Times New Roman" w:eastAsiaTheme="minorEastAsia" w:hAnsi="Times New Roman" w:cs="Times New Roman"/>
          <w:sz w:val="20"/>
          <w:szCs w:val="20"/>
          <w:lang w:val="en-GB"/>
        </w:rPr>
        <w:t xml:space="preserve"> et al.,): </w:t>
      </w:r>
      <w:r>
        <w:t xml:space="preserve">14·2 kt </w:t>
      </w:r>
      <w:proofErr w:type="spellStart"/>
      <w:r>
        <w:t>CO₂e</w:t>
      </w:r>
      <w:proofErr w:type="spellEnd"/>
      <w:r>
        <w:t xml:space="preserve"> </w:t>
      </w:r>
    </w:p>
    <w:p w14:paraId="3EEFFA67" w14:textId="77777777" w:rsidR="004C3780" w:rsidRDefault="00FD10E8">
      <w:pPr>
        <w:tabs>
          <w:tab w:val="center" w:pos="4819"/>
          <w:tab w:val="right" w:pos="9638"/>
        </w:tabs>
      </w:pPr>
      <w:r>
        <w:tab/>
      </w:r>
      <m:oMath>
        <m:r>
          <w:rPr>
            <w:rFonts w:ascii="Cambria Math" w:eastAsiaTheme="minorEastAsia" w:hAnsi="Cambria Math" w:cs="Times New Roman"/>
            <w:sz w:val="20"/>
            <w:szCs w:val="20"/>
            <w:lang w:val="en-GB"/>
          </w:rPr>
          <m:t>Final scaling factor=</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Danish National emissions from nitrous oxide</m:t>
            </m:r>
          </m:num>
          <m:den>
            <m:r>
              <m:rPr>
                <m:nor/>
              </m:rPr>
              <w:rPr>
                <w:rFonts w:ascii="Cambria Math" w:hAnsi="Cambria Math" w:cs="Times New Roman"/>
                <w:i/>
                <w:sz w:val="20"/>
                <w:szCs w:val="20"/>
                <w:lang w:val="en-GB"/>
              </w:rPr>
              <m:t>Dutch National emissions from nitrous oxide</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eastAsiaTheme="minorEastAsia" w:hAnsi="Cambria Math" w:cs="Times New Roman"/>
                <w:sz w:val="20"/>
                <w:szCs w:val="20"/>
                <w:lang w:val="en-GB"/>
              </w:rPr>
              <m:t>9.52</m:t>
            </m:r>
          </m:num>
          <m:den>
            <m:r>
              <m:rPr>
                <m:nor/>
              </m:rPr>
              <w:rPr>
                <w:rFonts w:ascii="Cambria Math" w:hAnsi="Cambria Math" w:cs="Times New Roman"/>
                <w:iCs/>
                <w:sz w:val="20"/>
                <w:szCs w:val="20"/>
                <w:lang w:val="en-GB"/>
              </w:rPr>
              <m:t>14.2</m:t>
            </m:r>
          </m:den>
        </m:f>
        <m:r>
          <w:rPr>
            <w:rFonts w:ascii="Cambria Math" w:hAnsi="Cambria Math" w:cs="Times New Roman"/>
            <w:sz w:val="20"/>
            <w:szCs w:val="20"/>
            <w:lang w:val="en-GB"/>
          </w:rPr>
          <m:t>=0.67</m:t>
        </m:r>
      </m:oMath>
      <w:r>
        <w:tab/>
        <w:t>(A8)</w:t>
      </w:r>
    </w:p>
    <w:p w14:paraId="1766205B" w14:textId="77777777" w:rsidR="002C4B91" w:rsidRPr="000F0CBE" w:rsidRDefault="002C4B91" w:rsidP="000F0CBE">
      <w:pPr>
        <w:spacing w:line="240" w:lineRule="auto"/>
        <w:rPr>
          <w:rFonts w:ascii="Times New Roman" w:eastAsiaTheme="minorEastAsia" w:hAnsi="Times New Roman" w:cs="Times New Roman"/>
          <w:sz w:val="20"/>
          <w:szCs w:val="20"/>
          <w:lang w:val="en-GB"/>
        </w:rPr>
      </w:pPr>
    </w:p>
    <w:p w14:paraId="43F3FBDB" w14:textId="77777777" w:rsidR="00060555" w:rsidRPr="000F0CBE" w:rsidRDefault="00060555"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National N₂O emissions were estimated at approximately 9·52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Compared with the Dutch estimate of 14·2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this corresponds to a scaling factor of 0·67. </w:t>
      </w:r>
    </w:p>
    <w:p w14:paraId="0211CE43" w14:textId="77777777" w:rsidR="000737F6" w:rsidRPr="000F0CBE" w:rsidRDefault="000737F6" w:rsidP="000F0CBE">
      <w:pPr>
        <w:spacing w:line="240" w:lineRule="auto"/>
        <w:rPr>
          <w:rFonts w:ascii="Times New Roman" w:hAnsi="Times New Roman" w:cs="Times New Roman"/>
          <w:i/>
          <w:iCs/>
          <w:sz w:val="20"/>
          <w:szCs w:val="20"/>
          <w:lang w:val="en-GB"/>
        </w:rPr>
      </w:pPr>
      <w:proofErr w:type="spellStart"/>
      <w:r>
        <w:rPr>
          <w:rFonts w:ascii="Times New Roman" w:hAnsi="Times New Roman" w:cs="Times New Roman"/>
          <w:i/>
          <w:iCs/>
          <w:sz w:val="20"/>
          <w:szCs w:val="20"/>
          <w:lang w:val="en-GB"/>
        </w:rPr>
        <w:t>pMDIs</w:t>
      </w:r>
      <w:proofErr w:type="spellEnd"/>
      <w:r>
        <w:rPr>
          <w:rFonts w:ascii="Times New Roman" w:hAnsi="Times New Roman" w:cs="Times New Roman"/>
          <w:i/>
          <w:iCs/>
          <w:sz w:val="20"/>
          <w:szCs w:val="20"/>
          <w:lang w:val="en-GB"/>
        </w:rPr>
        <w:t xml:space="preserve"> </w:t>
      </w:r>
    </w:p>
    <w:p w14:paraId="0022A1AE" w14:textId="56EB0E5E" w:rsidR="000737F6" w:rsidRPr="000F0CBE" w:rsidRDefault="000737F6" w:rsidP="000F0CBE">
      <w:pPr>
        <w:spacing w:line="240" w:lineRule="auto"/>
        <w:rPr>
          <w:rFonts w:ascii="Times New Roman" w:hAnsi="Times New Roman" w:cs="Times New Roman"/>
          <w:sz w:val="20"/>
          <w:szCs w:val="20"/>
          <w:lang w:val="en-GB"/>
        </w:rPr>
      </w:pP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&lt;EndNote&gt;&lt;Cite&gt;&lt;Author&gt;Steenmeijer&lt;/Author&gt;&lt;Year&gt;2022&lt;/Year&gt;&lt;RecNum&gt;32&lt;/RecNum&gt;&lt;DisplayText&gt;&lt;style face="superscript"&gt;5&lt;/style&gt;&lt;/DisplayText&gt;&lt;record&gt;&lt;rec-number&gt;32&lt;/rec-number&gt;&lt;foreign-keys&gt;&lt;key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5</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quantified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-related greenhouse gas emissions for the Netherlands in 2016 at </w:t>
      </w:r>
      <w:r>
        <w:t xml:space="preserve">76·9 kt </w:t>
      </w:r>
      <w:proofErr w:type="spellStart"/>
      <w:r>
        <w:t>CO₂e</w:t>
      </w:r>
      <w:proofErr w:type="spellEnd"/>
      <w:r>
        <w:t xml:space="preserve"> (GWP100), </w:t>
      </w:r>
      <w:proofErr w:type="spellStart"/>
      <w:r>
        <w:t>based</w:t>
      </w:r>
      <w:proofErr w:type="spellEnd"/>
      <w:r>
        <w:t xml:space="preserve"> on national </w:t>
      </w:r>
      <w:proofErr w:type="spellStart"/>
      <w:r>
        <w:t>pharmaceutical</w:t>
      </w:r>
      <w:proofErr w:type="spellEnd"/>
      <w:r>
        <w:t xml:space="preserve"> </w:t>
      </w:r>
      <w:proofErr w:type="spellStart"/>
      <w:r>
        <w:t>consumption</w:t>
      </w:r>
      <w:proofErr w:type="spellEnd"/>
      <w:r>
        <w:t xml:space="preserve"> data and </w:t>
      </w:r>
      <w:proofErr w:type="spellStart"/>
      <w:r>
        <w:t>life-cycle</w:t>
      </w:r>
      <w:proofErr w:type="spellEnd"/>
      <w:r>
        <w:t xml:space="preserve"> emission factors for inhaler </w:t>
      </w:r>
      <w:proofErr w:type="spellStart"/>
      <w:r>
        <w:t>propellants</w:t>
      </w:r>
      <w:proofErr w:type="spellEnd"/>
      <w:r>
        <w:t xml:space="preserve">. </w:t>
      </w:r>
      <w:proofErr w:type="spellStart"/>
      <w:r>
        <w:t>Defined</w:t>
      </w:r>
      <w:proofErr w:type="spellEnd"/>
      <w:r>
        <w:t xml:space="preserve"> </w:t>
      </w:r>
      <w:proofErr w:type="spellStart"/>
      <w:r>
        <w:t>daily</w:t>
      </w:r>
      <w:proofErr w:type="spellEnd"/>
      <w:r>
        <w:t xml:space="preserve"> </w:t>
      </w:r>
      <w:proofErr w:type="spellStart"/>
      <w:r>
        <w:t>doses</w:t>
      </w:r>
      <w:proofErr w:type="spellEnd"/>
      <w:r>
        <w:t xml:space="preserve"> (DDD) </w:t>
      </w:r>
      <w:proofErr w:type="spellStart"/>
      <w:r>
        <w:t>were</w:t>
      </w:r>
      <w:proofErr w:type="spellEnd"/>
      <w:r>
        <w:t xml:space="preserve"> </w:t>
      </w:r>
      <w:proofErr w:type="spellStart"/>
      <w:r>
        <w:t>used</w:t>
      </w:r>
      <w:proofErr w:type="spellEnd"/>
      <w:r>
        <w:t xml:space="preserve"> as the </w:t>
      </w:r>
      <w:proofErr w:type="spellStart"/>
      <w:r>
        <w:t>harmonised</w:t>
      </w:r>
      <w:proofErr w:type="spellEnd"/>
      <w:r>
        <w:t xml:space="preserve"> unit of </w:t>
      </w:r>
      <w:proofErr w:type="spellStart"/>
      <w:r>
        <w:t>comparison</w:t>
      </w:r>
      <w:proofErr w:type="spellEnd"/>
      <w:r>
        <w:t xml:space="preserve">, as </w:t>
      </w:r>
      <w:proofErr w:type="spellStart"/>
      <w:r>
        <w:t>this</w:t>
      </w:r>
      <w:proofErr w:type="spellEnd"/>
      <w:r>
        <w:t xml:space="preserve"> </w:t>
      </w:r>
      <w:proofErr w:type="spellStart"/>
      <w:r>
        <w:t>metric</w:t>
      </w:r>
      <w:proofErr w:type="spellEnd"/>
      <w:r>
        <w:t xml:space="preserve"> </w:t>
      </w:r>
      <w:proofErr w:type="spellStart"/>
      <w:r>
        <w:t>reflects</w:t>
      </w:r>
      <w:proofErr w:type="spellEnd"/>
      <w:r>
        <w:t xml:space="preserve"> </w:t>
      </w:r>
      <w:proofErr w:type="spellStart"/>
      <w:r>
        <w:t>actual</w:t>
      </w:r>
      <w:proofErr w:type="spellEnd"/>
      <w:r>
        <w:t xml:space="preserve"> </w:t>
      </w:r>
      <w:proofErr w:type="spellStart"/>
      <w:r>
        <w:t>therapeutic</w:t>
      </w:r>
      <w:proofErr w:type="spellEnd"/>
      <w:r>
        <w:t xml:space="preserve"> </w:t>
      </w:r>
      <w:proofErr w:type="spellStart"/>
      <w:r>
        <w:t>use</w:t>
      </w:r>
      <w:proofErr w:type="spellEnd"/>
      <w:r>
        <w:t xml:space="preserve"> and </w:t>
      </w:r>
      <w:proofErr w:type="spellStart"/>
      <w:r>
        <w:t>avoids</w:t>
      </w:r>
      <w:proofErr w:type="spellEnd"/>
      <w:r>
        <w:t xml:space="preserve"> </w:t>
      </w:r>
      <w:proofErr w:type="spellStart"/>
      <w:r>
        <w:t>confounding</w:t>
      </w:r>
      <w:proofErr w:type="spellEnd"/>
      <w:r>
        <w:t xml:space="preserve"> from differences in </w:t>
      </w:r>
      <w:proofErr w:type="spellStart"/>
      <w:r>
        <w:t>actuation</w:t>
      </w:r>
      <w:proofErr w:type="spellEnd"/>
      <w:r>
        <w:t xml:space="preserve"> </w:t>
      </w:r>
      <w:proofErr w:type="spellStart"/>
      <w:r>
        <w:t>counts</w:t>
      </w:r>
      <w:proofErr w:type="spellEnd"/>
      <w:r>
        <w:t xml:space="preserve"> or inhaler formats. </w:t>
      </w:r>
      <w:proofErr w:type="spellStart"/>
      <w:r>
        <w:t>According</w:t>
      </w:r>
      <w:proofErr w:type="spellEnd"/>
      <w:r>
        <w:t xml:space="preserve"> to Dutch national </w:t>
      </w:r>
      <w:proofErr w:type="spellStart"/>
      <w:r>
        <w:t>pharmaceutical</w:t>
      </w:r>
      <w:proofErr w:type="spellEnd"/>
      <w:r>
        <w:t xml:space="preserve"> </w:t>
      </w:r>
      <w:proofErr w:type="spellStart"/>
      <w:r>
        <w:t>statistics</w:t>
      </w:r>
      <w:proofErr w:type="spellEnd"/>
      <w:r>
        <w:t xml:space="preserve"> </w:t>
      </w:r>
      <w:proofErr w:type="spellStart"/>
      <w:r>
        <w:t>underlying</w:t>
      </w:r>
      <w:proofErr w:type="spellEnd"/>
      <w:r>
        <w:t xml:space="preserve"> </w:t>
      </w:r>
      <w:proofErr w:type="spellStart"/>
      <w:r>
        <w:t>Steenmeijer</w:t>
      </w:r>
      <w:proofErr w:type="spellEnd"/>
      <w:r>
        <w:t xml:space="preserve"> et al., </w:t>
      </w:r>
      <w:proofErr w:type="spellStart"/>
      <w:r>
        <w:t>approximately</w:t>
      </w:r>
      <w:proofErr w:type="spellEnd"/>
      <w:r>
        <w:t xml:space="preserve"> 62 million </w:t>
      </w:r>
      <w:proofErr w:type="spellStart"/>
      <w:r>
        <w:t>pMDI</w:t>
      </w:r>
      <w:proofErr w:type="spellEnd"/>
      <w:r>
        <w:t xml:space="preserve"> DDD </w:t>
      </w:r>
      <w:proofErr w:type="spellStart"/>
      <w:r>
        <w:t>were</w:t>
      </w:r>
      <w:proofErr w:type="spellEnd"/>
      <w:r>
        <w:t xml:space="preserve"> </w:t>
      </w:r>
      <w:proofErr w:type="spellStart"/>
      <w:r>
        <w:t>dispensed</w:t>
      </w:r>
      <w:proofErr w:type="spellEnd"/>
      <w:r>
        <w:t xml:space="preserve"> in the </w:t>
      </w:r>
      <w:proofErr w:type="spellStart"/>
      <w:r>
        <w:t>Netherlands</w:t>
      </w:r>
      <w:proofErr w:type="spellEnd"/>
      <w:r>
        <w:t xml:space="preserve"> in 2016. </w:t>
      </w:r>
      <w:proofErr w:type="spellStart"/>
      <w:r>
        <w:t>Correspondingly</w:t>
      </w:r>
      <w:proofErr w:type="spellEnd"/>
      <w:r>
        <w:t xml:space="preserve">, Danish national </w:t>
      </w:r>
      <w:proofErr w:type="spellStart"/>
      <w:r>
        <w:t>pharmacy</w:t>
      </w:r>
      <w:proofErr w:type="spellEnd"/>
      <w:r>
        <w:t xml:space="preserve"> dispensation data </w:t>
      </w:r>
      <w:proofErr w:type="spellStart"/>
      <w:r>
        <w:t>indicate</w:t>
      </w:r>
      <w:proofErr w:type="spellEnd"/>
      <w:r>
        <w:t xml:space="preserve"> </w:t>
      </w:r>
      <w:proofErr w:type="spellStart"/>
      <w:r>
        <w:t>that</w:t>
      </w:r>
      <w:proofErr w:type="spellEnd"/>
      <w:r>
        <w:t xml:space="preserve"> </w:t>
      </w:r>
      <w:proofErr w:type="spellStart"/>
      <w:r>
        <w:t>approximately</w:t>
      </w:r>
      <w:proofErr w:type="spellEnd"/>
      <w:r>
        <w:t xml:space="preserve"> 28 million </w:t>
      </w:r>
      <w:proofErr w:type="spellStart"/>
      <w:r>
        <w:t>pMDI</w:t>
      </w:r>
      <w:proofErr w:type="spellEnd"/>
      <w:r>
        <w:t xml:space="preserve"> DDD </w:t>
      </w:r>
      <w:proofErr w:type="spellStart"/>
      <w:r>
        <w:t>were</w:t>
      </w:r>
      <w:proofErr w:type="spellEnd"/>
      <w:r>
        <w:t xml:space="preserve"> </w:t>
      </w:r>
      <w:proofErr w:type="spellStart"/>
      <w:r>
        <w:t>dispensed</w:t>
      </w:r>
      <w:proofErr w:type="spellEnd"/>
      <w:r>
        <w:t xml:space="preserve"> in Denmark in 2019 </w:t>
      </w:r>
      <w: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instrText xml:space="preserve"> ADDIN EN.CITE </w:instrText>
      </w:r>
      <w:r w:rsidR="00DD0FF5">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instrText xml:space="preserve"> ADDIN EN.CITE.DATA </w:instrText>
      </w:r>
      <w:r w:rsidR="00DD0FF5">
        <w:fldChar w:fldCharType="end"/>
      </w:r>
      <w:r>
        <w:fldChar w:fldCharType="separate"/>
      </w:r>
      <w:r w:rsidR="00DD0FF5" w:rsidRPr="00DD0FF5">
        <w:rPr>
          <w:noProof/>
          <w:vertAlign w:val="superscript"/>
        </w:rPr>
        <w:t>6</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w:t>
      </w:r>
    </w:p>
    <w:p w14:paraId="4BA152AD" w14:textId="5B41777F" w:rsidR="005C61D4" w:rsidRPr="000F0CBE" w:rsidRDefault="005C61D4"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It was assumed that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emissions scale proportionally with Defined Daily Doses (DDDs) dispensed, therefore the ratio between the number of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DDDs dispensed in Denmark relative to the Netherlands was calculated to estimate these emissions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&lt;EndNote&gt;&lt;Cite&gt;&lt;Author&gt;Steenmeijer&lt;/Author&gt;&lt;Year&gt;2022&lt;/Year&gt;&lt;RecNum&gt;32&lt;/RecNum&gt;&lt;DisplayText&gt;&lt;style face="superscript"&gt;5&lt;/style&gt;&lt;/DisplayText&gt;&lt;record&gt;&lt;rec-number&gt;32&lt;/rec-number&gt;&lt;foreign-keys&gt;&lt;key app="EN" db-id="z5r2svst3pad9gevvdhvwaf70xpdftwrs0ef" timestamp="1781024250"&gt;32&lt;/key&gt;&lt;/foreign-keys&gt;&lt;ref-type name="Journal Article"&gt;17&lt;/ref-type&gt;&lt;contributors&gt;&lt;authors&gt;&lt;author&gt;Steenmeijer, MA&lt;/author&gt;&lt;author&gt;Rodrigues, JFD&lt;/author&gt;&lt;author&gt;Zijp, MC&lt;/author&gt;&lt;author&gt;Waaijers-van der Loop, SL&lt;/author&gt;&lt;/authors&gt;&lt;/contributors&gt;&lt;titles&gt;&lt;title&gt;The environmental impact of the Dutch health-care sector beyond climate change: an input–output analysis&lt;/title&gt;&lt;secondary-title&gt;Lancet Planetary Health&lt;/secondary-title&gt;&lt;/titles&gt;&lt;periodical&gt;&lt;full-title&gt;Lancet Planetary Health&lt;/full-title&gt;&lt;/periodical&gt;&lt;pages&gt;e949-e957&lt;/pages&gt;&lt;volume&gt;6&lt;/volume&gt;&lt;number&gt;12&lt;/number&gt;&lt;dates&gt;&lt;year&gt;2022&lt;/year&gt;&lt;/dates&gt;&lt;urls&gt;&lt;/urls&gt;&lt;/record&gt;&lt;/Cite&gt;&lt;/EndNote&gt;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5</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An additional assumption was that </w:t>
      </w: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excluded bottom-up calculations of emissions from alternative inhaler types (e.g. dry-powder inhalers), because their contribution is substantially lower than that of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t>
      </w:r>
      <w:r>
        <w:rPr>
          <w:rFonts w:ascii="Times New Roman" w:hAnsi="Times New Roman" w:cs="Times New Roman"/>
          <w:sz w:val="20"/>
          <w:szCs w:val="20"/>
          <w:lang w:val="en-GB"/>
        </w:rP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rPr>
          <w:rFonts w:ascii="Times New Roman" w:hAnsi="Times New Roman" w:cs="Times New Roman"/>
          <w:sz w:val="20"/>
          <w:szCs w:val="20"/>
          <w:lang w:val="en-GB"/>
        </w:rPr>
        <w:instrText xml:space="preserve"> ADDIN EN.CITE </w:instrText>
      </w:r>
      <w:r w:rsidR="00DD0FF5">
        <w:rPr>
          <w:rFonts w:ascii="Times New Roman" w:hAnsi="Times New Roman" w:cs="Times New Roman"/>
          <w:sz w:val="20"/>
          <w:szCs w:val="20"/>
          <w:lang w:val="en-GB"/>
        </w:rPr>
        <w:fldChar w:fldCharType="begin">
          <w:fldData xml:space="preserve">PEVuZE5vdGU+PENpdGU+PEF1dGhvcj5WZXN0Ym88L0F1dGhvcj48WWVhcj4yMDIzPC9ZZWFyPjxS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</w:fldData>
        </w:fldChar>
      </w:r>
      <w:r w:rsidR="00DD0FF5">
        <w:rPr>
          <w:rFonts w:ascii="Times New Roman" w:hAnsi="Times New Roman" w:cs="Times New Roman"/>
          <w:sz w:val="20"/>
          <w:szCs w:val="20"/>
          <w:lang w:val="en-GB"/>
        </w:rPr>
        <w:instrText xml:space="preserve"> ADDIN EN.CITE.DATA </w:instrText>
      </w:r>
      <w:r w:rsidR="00DD0FF5">
        <w:rPr>
          <w:rFonts w:ascii="Times New Roman" w:hAnsi="Times New Roman" w:cs="Times New Roman"/>
          <w:sz w:val="20"/>
          <w:szCs w:val="20"/>
          <w:lang w:val="en-GB"/>
        </w:rPr>
      </w:r>
      <w:r w:rsidR="00DD0FF5">
        <w:rPr>
          <w:rFonts w:ascii="Times New Roman" w:hAnsi="Times New Roman" w:cs="Times New Roman"/>
          <w:sz w:val="20"/>
          <w:szCs w:val="20"/>
          <w:lang w:val="en-GB"/>
        </w:rPr>
        <w:fldChar w:fldCharType="end"/>
      </w:r>
      <w:r>
        <w:rPr>
          <w:rFonts w:ascii="Times New Roman" w:hAnsi="Times New Roman" w:cs="Times New Roman"/>
          <w:sz w:val="20"/>
          <w:szCs w:val="20"/>
          <w:lang w:val="en-GB"/>
        </w:rPr>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6</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Thus, total impacts from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were calculated as follows: </w:t>
      </w:r>
    </w:p>
    <w:p w14:paraId="06ED85BF" w14:textId="77777777" w:rsidR="004C3780" w:rsidRDefault="00FD10E8">
      <w:pPr>
        <w:tabs>
          <w:tab w:val="center" w:pos="4819"/>
          <w:tab w:val="right" w:pos="9638"/>
        </w:tabs>
      </w:pPr>
      <w:r>
        <w:tab/>
      </w:r>
      <m:oMath>
        <m:r>
          <m:rPr>
            <m:nor/>
          </m:rPr>
          <w:rPr>
            <w:rFonts w:ascii="Times New Roman" w:hAnsi="Times New Roman" w:cs="Times New Roman"/>
            <w:i/>
            <w:iCs/>
            <w:sz w:val="20"/>
            <w:szCs w:val="20"/>
            <w:lang w:val="en-GB"/>
          </w:rPr>
          <m:t xml:space="preserve">Total Danish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emissions</m:t>
        </m:r>
        <m:r>
          <w:rPr>
            <w:rFonts w:ascii="Cambria Math" w:hAnsi="Cambria Math" w:cs="Times New Roman"/>
            <w:sz w:val="20"/>
            <w:szCs w:val="20"/>
            <w:lang w:val="en-GB"/>
          </w:rPr>
          <m:t>=</m:t>
        </m:r>
        <m:f>
          <m:fPr>
            <m:ctrlPr>
              <w:rPr>
                <w:rFonts w:ascii="Cambria Math" w:hAnsi="Cambria Math" w:cs="Times New Roman"/>
                <w:i/>
                <w:iCs/>
                <w:sz w:val="20"/>
                <w:szCs w:val="20"/>
                <w:lang w:val="en-GB"/>
              </w:rPr>
            </m:ctrlPr>
          </m:fPr>
          <m:num>
            <m:r>
              <m:rPr>
                <m:nor/>
              </m:rPr>
              <w:rPr>
                <w:rFonts w:ascii="Times New Roman" w:hAnsi="Times New Roman" w:cs="Times New Roman"/>
                <w:i/>
                <w:iCs/>
                <w:sz w:val="20"/>
                <w:szCs w:val="20"/>
                <w:lang w:val="en-GB"/>
              </w:rPr>
              <m:t>Danish pMDI DDD</m:t>
            </m:r>
          </m:num>
          <m:den>
            <m:r>
              <m:rPr>
                <m:nor/>
              </m:rPr>
              <w:rPr>
                <w:rFonts w:ascii="Times New Roman" w:hAnsi="Times New Roman" w:cs="Times New Roman"/>
                <w:i/>
                <w:iCs/>
                <w:sz w:val="20"/>
                <w:szCs w:val="20"/>
                <w:lang w:val="en-GB"/>
              </w:rPr>
              <m:t xml:space="preserve">Dutch </m:t>
            </m:r>
            <w:proofErr w:type="spellStart"/>
            <m:r>
              <m:rPr>
                <m:nor/>
              </m:rPr>
              <w:rPr>
                <w:rFonts w:ascii="Times New Roman" w:hAnsi="Times New Roman" w:cs="Times New Roman"/>
                <w:i/>
                <w:iCs/>
                <w:sz w:val="20"/>
                <w:szCs w:val="20"/>
                <w:lang w:val="en-GB"/>
              </w:rPr>
              <m:t>pMDI</m:t>
            </m:r>
            <w:proofErr w:type="spellEnd"/>
            <m:r>
              <m:rPr>
                <m:nor/>
              </m:rPr>
              <w:rPr>
                <w:rFonts w:ascii="Times New Roman" w:hAnsi="Times New Roman" w:cs="Times New Roman"/>
                <w:i/>
                <w:iCs/>
                <w:sz w:val="20"/>
                <w:szCs w:val="20"/>
                <w:lang w:val="en-GB"/>
              </w:rPr>
              <m:t xml:space="preserve"> DDD</m:t>
            </m:r>
          </m:den>
        </m:f>
        <m:r>
          <w:rPr>
            <w:rFonts w:ascii="Cambria Math" w:hAnsi="Cambria Math" w:cs="Times New Roman"/>
            <w:sz w:val="20"/>
            <w:szCs w:val="20"/>
            <w:lang w:val="en-GB"/>
          </w:rPr>
          <m:t>x Dutch pMDI DDD emissions</m:t>
        </m:r>
      </m:oMath>
      <w:r>
        <w:tab/>
        <w:t>(A9)</w:t>
      </w:r>
    </w:p>
    <w:p w14:paraId="61309DDE" w14:textId="77777777" w:rsidR="000737F6" w:rsidRPr="000F0CBE" w:rsidRDefault="000737F6"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Despite Denmark having a substantially higher dry-powder inhaler (DPI) uptake than the Netherlands, scaling emissions by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DDD - rather than population size or disease prevalence - was considered the most appropriate method for cross-country adjustment. Applying a ratio based on relative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use (28/62 ≈ 0·45) to the Dutch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footprint yields an estimated Danish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emission of approximately 34·6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w:t>
      </w:r>
    </w:p>
    <w:p w14:paraId="2125314E" w14:textId="77777777" w:rsidR="000737F6" w:rsidRPr="000F0CBE" w:rsidRDefault="000737F6"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This estimate aligns closely with independent Danish calculations by Vestbo &amp; Press-Kristensen (2023), who estimated approximately 31 kt CO₂-equivalents from </w:t>
      </w:r>
      <w:proofErr w:type="spellStart"/>
      <w:r>
        <w:rPr>
          <w:rFonts w:ascii="Times New Roman" w:hAnsi="Times New Roman" w:cs="Times New Roman"/>
          <w:sz w:val="20"/>
          <w:szCs w:val="20"/>
          <w:lang w:val="en-GB"/>
        </w:rPr>
        <w:t>pMDI</w:t>
      </w:r>
      <w:proofErr w:type="spellEnd"/>
      <w:r>
        <w:rPr>
          <w:rFonts w:ascii="Times New Roman" w:hAnsi="Times New Roman" w:cs="Times New Roman"/>
          <w:sz w:val="20"/>
          <w:szCs w:val="20"/>
          <w:lang w:val="en-GB"/>
        </w:rPr>
        <w:t xml:space="preserve"> use using pharmacy dispensation data and propellant-specific emission factors. Minor differences are attributable to methodological choices, including the global warming potential time horizon (GWP20 vs. GWP100) and assumptions regarding propellant composition. Overall, the convergence of estimates supports the robustness of the dose-based scaling approach. </w:t>
      </w:r>
    </w:p>
    <w:p w14:paraId="2AE14724" w14:textId="77777777" w:rsidR="00BE74BC" w:rsidRPr="000F0CBE" w:rsidRDefault="000737F6"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Private travel (Further details in Appendix B)</w:t>
      </w:r>
    </w:p>
    <w:p w14:paraId="1F7306B3" w14:textId="77777777" w:rsidR="00BE74BC" w:rsidRPr="000F0CBE" w:rsidRDefault="00BE74BC"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scaling-based approach was used to estimate emissions from private travel associated with healthcare provision in Denmark. This approach adapts Dutch estimates from </w:t>
      </w: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to Danish conditions while ensuring internal consistency and avoiding the use of heterogeneous life cycle inventory data. </w:t>
      </w:r>
    </w:p>
    <w:p w14:paraId="1AD4B39B" w14:textId="77777777" w:rsidR="00BE74BC" w:rsidRPr="000F0CBE" w:rsidRDefault="00BE74B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Commuting emissions </w:t>
      </w:r>
    </w:p>
    <w:p w14:paraId="6CFB0C16" w14:textId="77777777" w:rsidR="00352CFF" w:rsidRPr="000F0CBE" w:rsidRDefault="00352CFF"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Danish commuting emissions were estimated by scaling Dutch healthcare commuting emissions using ratios that reflect differences in workforce size, working hours, and commuting distances: </w:t>
      </w:r>
    </w:p>
    <w:p w14:paraId="760B8C78" w14:textId="77777777" w:rsidR="004C3780" w:rsidRDefault="00FD10E8">
      <w:pPr>
        <w:tabs>
          <w:tab w:val="center" w:pos="4819"/>
          <w:tab w:val="right" w:pos="9638"/>
        </w:tabs>
      </w:pPr>
      <w:r>
        <w:tab/>
      </w:r>
      <m:oMath>
        <m:r>
          <w:rPr>
            <w:rFonts w:ascii="Cambria Math" w:hAnsi="Cambria Math" w:cs="Times New Roman"/>
            <w:sz w:val="20"/>
            <w:szCs w:val="20"/>
            <w:lang w:val="en-GB"/>
          </w:rPr>
          <m:t>Dk commuting emissions=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Cambria Math" w:hAnsi="Cambria Math"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Work hours</m:t>
            </m:r>
          </m:num>
          <m:den>
            <m:r>
              <m:rPr>
                <m:nor/>
              </m:rPr>
              <w:rPr>
                <w:rFonts w:ascii="Cambria Math" w:hAnsi="Cambria Math" w:cs="Times New Roman"/>
                <w:i/>
                <w:sz w:val="20"/>
                <w:szCs w:val="20"/>
                <w:lang w:val="en-GB"/>
              </w:rPr>
              <m:t>NL Work hours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Cambria Math" w:hAnsi="Cambria Math" w:cs="Times New Roman"/>
                <w:i/>
                <w:sz w:val="20"/>
                <w:szCs w:val="20"/>
                <w:lang w:val="en-GB"/>
              </w:rPr>
              <m:t>Dk Daily mileage</m:t>
            </m:r>
          </m:num>
          <m:den>
            <m:r>
              <m:rPr>
                <m:nor/>
              </m:rPr>
              <w:rPr>
                <w:rFonts w:ascii="Cambria Math" w:hAnsi="Cambria Math" w:cs="Times New Roman"/>
                <w:i/>
                <w:sz w:val="20"/>
                <w:szCs w:val="20"/>
                <w:lang w:val="en-GB"/>
              </w:rPr>
              <m:t>NL Daily mileage</m:t>
            </m:r>
          </m:den>
        </m:f>
        <m:r>
          <w:rPr>
            <w:rFonts w:ascii="Cambria Math" w:hAnsi="Cambria Math" w:cs="Times New Roman"/>
            <w:sz w:val="20"/>
            <w:szCs w:val="20"/>
            <w:lang w:val="en-GB"/>
          </w:rPr>
          <m:t>x NL commuting emis.</m:t>
        </m:r>
      </m:oMath>
      <w:r>
        <w:tab/>
        <w:t>(A10)</w:t>
      </w:r>
    </w:p>
    <w:p w14:paraId="3418C7C3"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Input parameters were: </w:t>
      </w:r>
    </w:p>
    <w:p w14:paraId="35B45A88"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Number of healthcare employees: </w:t>
      </w:r>
    </w:p>
    <w:p w14:paraId="6301F350" w14:textId="77777777" w:rsidR="00301661" w:rsidRPr="000F0CBE" w:rsidRDefault="006345DE" w:rsidP="000F0CBE">
      <w:pPr>
        <w:pStyle w:val="ListParagraph"/>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Denmark (2019): 524,000 </w:t>
      </w:r>
    </w:p>
    <w:p w14:paraId="5CE03115" w14:textId="77777777" w:rsidR="006345DE" w:rsidRPr="000F0CBE" w:rsidRDefault="006345DE" w:rsidP="000F0CBE">
      <w:pPr>
        <w:pStyle w:val="ListParagraph"/>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Netherlands (2016): 1,220,750 </w:t>
      </w:r>
    </w:p>
    <w:p w14:paraId="1FC7D77C" w14:textId="77777777" w:rsidR="00301661"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Average weekly working hours: </w:t>
      </w:r>
    </w:p>
    <w:p w14:paraId="50A27641" w14:textId="47848B72" w:rsidR="00301661" w:rsidRPr="000F0CBE" w:rsidRDefault="006345DE" w:rsidP="000F0CBE">
      <w:pPr>
        <w:pStyle w:val="ListParagraph"/>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Denmark (2019): 34·4 hours </w:t>
      </w:r>
    </w:p>
    <w:p w14:paraId="039F7D06" w14:textId="42E66EA1" w:rsidR="00301661" w:rsidRPr="000F0CBE" w:rsidRDefault="006345DE" w:rsidP="000F0CBE">
      <w:pPr>
        <w:pStyle w:val="ListParagraph"/>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Netherlands (2016): 29·2 hours </w:t>
      </w:r>
    </w:p>
    <w:p w14:paraId="188C07C1"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Average daily commuting distance per person: </w:t>
      </w:r>
    </w:p>
    <w:p w14:paraId="4F122FE9" w14:textId="1D2EE4A4" w:rsidR="00301661" w:rsidRPr="000F0CBE" w:rsidRDefault="006345DE" w:rsidP="000F0CBE">
      <w:pPr>
        <w:pStyle w:val="ListParagraph"/>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Denmark (2019): 8·5 km </w:t>
      </w:r>
    </w:p>
    <w:p w14:paraId="07C4CB59" w14:textId="2B062C5D" w:rsidR="006345DE" w:rsidRPr="000F0CBE" w:rsidRDefault="006345DE" w:rsidP="000F0CBE">
      <w:pPr>
        <w:pStyle w:val="ListParagraph"/>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Netherlands (2016): 7·88 km </w:t>
      </w:r>
    </w:p>
    <w:p w14:paraId="23B9D6AC" w14:textId="77777777" w:rsidR="006345DE"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Applying these ratios: </w:t>
      </w:r>
    </w:p>
    <w:p w14:paraId="2B6D46F3" w14:textId="77777777" w:rsidR="004C3780" w:rsidRDefault="00FD10E8">
      <w:pPr>
        <w:tabs>
          <w:tab w:val="center" w:pos="4819"/>
          <w:tab w:val="right" w:pos="9638"/>
        </w:tabs>
      </w:pPr>
      <w:r>
        <w:tab/>
      </w:r>
      <m:oMath>
        <m:r>
          <w:rPr>
            <w:rFonts w:ascii="Cambria Math" w:hAnsi="Cambria Math" w:cs="Times New Roman"/>
            <w:sz w:val="20"/>
            <w:szCs w:val="20"/>
            <w:lang w:val="en-GB"/>
          </w:rPr>
          <m:t>Dk/NL commuting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524000</m:t>
            </m:r>
          </m:num>
          <m:den>
            <m:r>
              <m:rPr>
                <m:nor/>
              </m:rPr>
              <w:rPr>
                <w:rFonts w:ascii="Times New Roman" w:hAnsi="Times New Roman" w:cs="Times New Roman"/>
                <w:i/>
                <w:sz w:val="20"/>
                <w:szCs w:val="20"/>
                <w:lang w:val="en-GB"/>
              </w:rPr>
              <m:t>1220750</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34.4</m:t>
            </m:r>
          </m:num>
          <m:den>
            <m:r>
              <m:rPr>
                <m:nor/>
              </m:rPr>
              <w:rPr>
                <w:rFonts w:ascii="Times New Roman" w:hAnsi="Times New Roman" w:cs="Times New Roman"/>
                <w:i/>
                <w:sz w:val="20"/>
                <w:szCs w:val="20"/>
                <w:lang w:val="en-GB"/>
              </w:rPr>
              <m:t>29.2</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8.5</m:t>
            </m:r>
          </m:num>
          <m:den>
            <m:r>
              <m:rPr>
                <m:nor/>
              </m:rPr>
              <w:rPr>
                <w:rFonts w:ascii="Times New Roman" w:hAnsi="Times New Roman" w:cs="Times New Roman"/>
                <w:i/>
                <w:sz w:val="20"/>
                <w:szCs w:val="20"/>
                <w:lang w:val="en-GB"/>
              </w:rPr>
              <m:t>7.88</m:t>
            </m:r>
          </m:den>
        </m:f>
        <m:r>
          <w:rPr>
            <w:rFonts w:ascii="Cambria Math" w:hAnsi="Cambria Math" w:cs="Times New Roman"/>
            <w:sz w:val="20"/>
            <w:szCs w:val="20"/>
            <w:lang w:val="en-GB"/>
          </w:rPr>
          <m:t xml:space="preserve">x </m:t>
        </m:r>
        <m:r>
          <m:rPr>
            <m:sty m:val="p"/>
          </m:rPr>
          <w:rPr>
            <w:rFonts w:ascii="Cambria Math" w:hAnsi="Cambria Math" w:cs="Times New Roman"/>
            <w:sz w:val="20"/>
            <w:szCs w:val="20"/>
            <w:lang w:val="en-GB"/>
          </w:rPr>
          <m:t>0.545</m:t>
        </m:r>
      </m:oMath>
      <w:r>
        <w:tab/>
        <w:t>(A11)</w:t>
      </w:r>
    </w:p>
    <w:p w14:paraId="1A47902D" w14:textId="77777777" w:rsidR="004B392E" w:rsidRPr="000F0CBE" w:rsidRDefault="004B392E" w:rsidP="000F0CBE">
      <w:pPr>
        <w:spacing w:line="240" w:lineRule="auto"/>
        <w:ind w:firstLine="1304"/>
        <w:rPr>
          <w:rFonts w:ascii="Times New Roman" w:hAnsi="Times New Roman" w:cs="Times New Roman"/>
          <w:sz w:val="20"/>
          <w:szCs w:val="20"/>
          <w:lang w:val="en-GB"/>
        </w:rPr>
      </w:pPr>
    </w:p>
    <w:p w14:paraId="4672D528" w14:textId="77777777" w:rsidR="008D2E29" w:rsidRPr="000F0CBE" w:rsidRDefault="006345D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Thus, Danish commuting emissions in 2019 were estimated to be approximately 0·545 (54·5%) of Dutch commuting emissions in 2016. </w:t>
      </w:r>
    </w:p>
    <w:p w14:paraId="3E682BF5" w14:textId="77777777" w:rsidR="0023273C" w:rsidRPr="000F0CBE" w:rsidRDefault="0023273C"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Comparability assumptions </w:t>
      </w:r>
    </w:p>
    <w:p w14:paraId="3D6B3A55" w14:textId="4E1A83E0" w:rsidR="002F4DD6" w:rsidRPr="000F0CBE" w:rsidRDefault="0023273C"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modal distribution of transport for </w:t>
      </w:r>
      <w:r>
        <w:rPr>
          <w:rFonts w:ascii="Times New Roman" w:hAnsi="Times New Roman" w:cs="Times New Roman"/>
          <w:i/>
          <w:iCs/>
          <w:sz w:val="20"/>
          <w:szCs w:val="20"/>
          <w:lang w:val="en-GB"/>
        </w:rPr>
        <w:t>commuting</w:t>
      </w:r>
      <w:r>
        <w:rPr>
          <w:rFonts w:ascii="Times New Roman" w:hAnsi="Times New Roman" w:cs="Times New Roman"/>
          <w:sz w:val="20"/>
          <w:szCs w:val="20"/>
          <w:lang w:val="en-GB"/>
        </w:rPr>
        <w:t xml:space="preserve"> was found to be similar between Denmark in 2019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&lt;EndNote&gt;&lt;Cite&gt;&lt;Author&gt;Christiansen&lt;/Author&gt;&lt;Year&gt;2020&lt;/Year&gt;&lt;RecNum&gt;52&lt;/RecNum&gt;&lt;DisplayText&gt;&lt;style face="superscript"&gt;7&lt;/style&gt;&lt;/DisplayText&gt;&lt;record&gt;&lt;rec-number&gt;52&lt;/rec-number&gt;&lt;foreign-keys&gt;&lt;key app="EN" db-id="z5r2svst3pad9gevvdhvwaf70xpdftwrs0ef" timestamp="1781089691"&gt;52&lt;/key&gt;&lt;/foreign-keys&gt;&lt;ref-type name="Report"&gt;27&lt;/ref-type&gt;&lt;contributors&gt;&lt;authors&gt;&lt;author&gt;Christiansen, Hjalmar&lt;/author&gt;&lt;author&gt;Baescu, Oana&lt;/author&gt;&lt;/authors&gt;&lt;/contributors&gt;&lt;titles&gt;&lt;title&gt;The Danish National Travel Survey: Annual Statistical Report 2019&lt;/title&gt;&lt;/titles&gt;&lt;dates&gt;&lt;year&gt;2020&lt;/year&gt;&lt;/dates&gt;&lt;pub-location&gt;Copenhagen&lt;/pub-location&gt;&lt;publisher&gt;Technical University of Denmark&lt;/publisher&gt;&lt;urls&gt;&lt;/urls&gt;&lt;/record&gt;&lt;/Cite&gt;&lt;/EndNote&gt;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7</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and the Netherlands 2016 </w:t>
      </w:r>
      <w:r>
        <w:rPr>
          <w:rFonts w:ascii="Times New Roman" w:hAnsi="Times New Roman" w:cs="Times New Roman"/>
          <w:sz w:val="20"/>
          <w:szCs w:val="20"/>
          <w:lang w:val="en-GB"/>
        </w:rPr>
        <w:fldChar w:fldCharType="begin"/>
      </w:r>
      <w:r w:rsidR="00DD0FF5">
        <w:rPr>
          <w:rFonts w:ascii="Times New Roman" w:hAnsi="Times New Roman" w:cs="Times New Roman"/>
          <w:sz w:val="20"/>
          <w:szCs w:val="20"/>
          <w:lang w:val="en-GB"/>
        </w:rPr>
        <w:instrText xml:space="preserve"> ADDIN EN.CITE &lt;EndNote&gt;&lt;Cite&gt;&lt;Author&gt;Statistics Netherlands&lt;/Author&gt;&lt;Year&gt;2016&lt;/Year&gt;&lt;RecNum&gt;53&lt;/RecNum&gt;&lt;DisplayText&gt;&lt;style face="superscript"&gt;8&lt;/style&gt;&lt;/DisplayText&gt;&lt;record&gt;&lt;rec-number&gt;53&lt;/rec-number&gt;&lt;foreign-keys&gt;&lt;key app="EN" db-id="z5r2svst3pad9gevvdhvwaf70xpdftwrs0ef" timestamp="1781090535"&gt;53&lt;/key&gt;&lt;/foreign-keys&gt;&lt;ref-type name="Report"&gt;27&lt;/ref-type&gt;&lt;contributors&gt;&lt;authors&gt;&lt;author&gt;Statistics Netherlands,&lt;/author&gt;&lt;/authors&gt;&lt;/contributors&gt;&lt;titles&gt;&lt;title&gt;Mobility by mode and purpose&lt;/title&gt;&lt;/titles&gt;&lt;dates&gt;&lt;year&gt;2016&lt;/year&gt;&lt;/dates&gt;&lt;pub-location&gt;The Hague&lt;/pub-location&gt;&lt;publisher&gt;CBS&lt;/publisher&gt;&lt;urls&gt;&lt;/urls&gt;&lt;/record&gt;&lt;/Cite&gt;&lt;/EndNote&gt;</w:instrText>
      </w:r>
      <w:r>
        <w:rPr>
          <w:rFonts w:ascii="Times New Roman" w:hAnsi="Times New Roman" w:cs="Times New Roman"/>
          <w:sz w:val="20"/>
          <w:szCs w:val="20"/>
          <w:lang w:val="en-GB"/>
        </w:rPr>
        <w:fldChar w:fldCharType="separate"/>
      </w:r>
      <w:r w:rsidR="00DD0FF5" w:rsidRPr="00DD0FF5">
        <w:rPr>
          <w:rFonts w:ascii="Times New Roman" w:hAnsi="Times New Roman" w:cs="Times New Roman"/>
          <w:noProof/>
          <w:sz w:val="20"/>
          <w:szCs w:val="20"/>
          <w:vertAlign w:val="superscript"/>
          <w:lang w:val="en-GB"/>
        </w:rPr>
        <w:t>8</w:t>
      </w:r>
      <w:r>
        <w:rPr>
          <w:rFonts w:ascii="Times New Roman" w:hAnsi="Times New Roman" w:cs="Times New Roman"/>
          <w:sz w:val="20"/>
          <w:szCs w:val="20"/>
          <w:lang w:val="en-GB"/>
        </w:rPr>
        <w:fldChar w:fldCharType="end"/>
      </w:r>
      <w:r>
        <w:rPr>
          <w:rFonts w:ascii="Times New Roman" w:hAnsi="Times New Roman" w:cs="Times New Roman"/>
          <w:sz w:val="20"/>
          <w:szCs w:val="20"/>
          <w:lang w:val="en-GB"/>
        </w:rPr>
        <w:t xml:space="preserve">, based on national travel survey data. Although differences exist (e.g., higher car use but also higher </w:t>
      </w:r>
      <w:r>
        <w:rPr>
          <w:rFonts w:ascii="Times New Roman" w:hAnsi="Times New Roman" w:cs="Times New Roman"/>
          <w:sz w:val="20"/>
          <w:szCs w:val="20"/>
          <w:lang w:val="en-GB"/>
        </w:rPr>
        <w:lastRenderedPageBreak/>
        <w:t xml:space="preserve">share of electric vehicles in Denmark), these were considered to partially offset each other, and further modal disaggregation was not pursued. </w:t>
      </w:r>
    </w:p>
    <w:p w14:paraId="55A9B109" w14:textId="77777777" w:rsidR="009F33F7" w:rsidRPr="000F0CBE" w:rsidRDefault="009F33F7"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Patient and visitor travel </w:t>
      </w:r>
    </w:p>
    <w:p w14:paraId="69F97E28" w14:textId="77777777" w:rsidR="001E771D" w:rsidRPr="001E771D" w:rsidRDefault="001E771D" w:rsidP="001E771D">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Patient and visitor (P&amp;V) travel reflects healthcare demand rather than workforce attendance. Therefore, emissions were scaled using the number of healthcare employees as a proxy for system size.</w:t>
      </w:r>
    </w:p>
    <w:p w14:paraId="2369C735" w14:textId="77777777" w:rsidR="001E771D" w:rsidRDefault="001E771D" w:rsidP="001E771D">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Danish P&amp;V travel emissions were estimated by scaling Dutch emissions using two factors: (</w:t>
      </w:r>
      <w:proofErr w:type="spellStart"/>
      <w:r>
        <w:rPr>
          <w:rFonts w:ascii="Times New Roman" w:hAnsi="Times New Roman" w:cs="Times New Roman"/>
          <w:sz w:val="20"/>
          <w:szCs w:val="20"/>
          <w:lang w:val="en-GB"/>
        </w:rPr>
        <w:t>i</w:t>
      </w:r>
      <w:proofErr w:type="spellEnd"/>
      <w:r>
        <w:rPr>
          <w:rFonts w:ascii="Times New Roman" w:hAnsi="Times New Roman" w:cs="Times New Roman"/>
          <w:sz w:val="20"/>
          <w:szCs w:val="20"/>
          <w:lang w:val="en-GB"/>
        </w:rPr>
        <w:t>) the relative size of the healthcare workforce and (ii) differences in travel distances:</w:t>
      </w:r>
    </w:p>
    <w:p w14:paraId="2C0C0DB4" w14:textId="77777777" w:rsidR="004C3780" w:rsidRDefault="00FD10E8">
      <w:pPr>
        <w:tabs>
          <w:tab w:val="center" w:pos="4819"/>
          <w:tab w:val="right" w:pos="9638"/>
        </w:tabs>
      </w:pPr>
      <w:r>
        <w:tab/>
      </w:r>
      <m:oMath>
        <m:r>
          <w:rPr>
            <w:rFonts w:ascii="Cambria Math" w:hAnsi="Cambria Math" w:cs="Times New Roman"/>
            <w:sz w:val="20"/>
            <w:szCs w:val="20"/>
            <w:lang w:val="en-GB"/>
          </w:rPr>
          <m:t>Dk P&amp;V travel emis.=</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x</m:t>
        </m:r>
        <m:f>
          <m:fPr>
            <m:ctrlPr>
              <w:rPr>
                <w:rFonts w:ascii="Cambria Math" w:hAnsi="Cambria Math" w:cs="Times New Roman"/>
                <w:i/>
                <w:sz w:val="20"/>
                <w:szCs w:val="20"/>
                <w:lang w:val="en-GB"/>
              </w:rPr>
            </m:ctrlPr>
          </m:fPr>
          <m:num>
            <m:r>
              <m:rPr>
                <m:nor/>
              </m:rPr>
              <w:rPr>
                <w:rFonts w:ascii="Times New Roman" w:hAnsi="Times New Roman" w:cs="Times New Roman"/>
                <w:i/>
                <w:sz w:val="20"/>
                <w:szCs w:val="20"/>
                <w:lang w:val="en-GB"/>
              </w:rPr>
              <m:t xml:space="preserve">Dk commute + Dk errands + Dk GP  </m:t>
            </m:r>
          </m:num>
          <m:den>
            <m:r>
              <m:rPr>
                <m:nor/>
              </m:rPr>
              <w:rPr>
                <w:rFonts w:ascii="Times New Roman" w:hAnsi="Times New Roman" w:cs="Times New Roman"/>
                <w:i/>
                <w:sz w:val="20"/>
                <w:szCs w:val="20"/>
                <w:lang w:val="en-GB"/>
              </w:rPr>
              <m:t>NL commute + NL errands + NL GP</m:t>
            </m:r>
          </m:den>
        </m:f>
        <m:r>
          <w:rPr>
            <w:rFonts w:ascii="Cambria Math" w:hAnsi="Cambria Math" w:cs="Times New Roman"/>
            <w:sz w:val="20"/>
            <w:szCs w:val="20"/>
            <w:lang w:val="en-GB"/>
          </w:rPr>
          <m:t>x NL P&amp;V travel emis.</m:t>
        </m:r>
      </m:oMath>
      <w:r>
        <w:tab/>
        <w:t>(A12)</w:t>
      </w:r>
    </w:p>
    <w:p w14:paraId="657676E0" w14:textId="77777777" w:rsidR="00A370B2" w:rsidRDefault="0020546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following deconstructs this formula in steps to simplify the logic of the calculation.</w:t>
      </w:r>
    </w:p>
    <w:p w14:paraId="0CBB49F7" w14:textId="77777777" w:rsidR="00F76B1A" w:rsidRDefault="00F76B1A"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employee ratio was calculated as:</w:t>
      </w:r>
    </w:p>
    <w:p w14:paraId="0811535D" w14:textId="77777777" w:rsidR="004C3780" w:rsidRDefault="00FD10E8">
      <w:pPr>
        <w:tabs>
          <w:tab w:val="center" w:pos="4819"/>
          <w:tab w:val="right" w:pos="9638"/>
        </w:tabs>
      </w:pPr>
      <w:r>
        <w:tab/>
      </w:r>
      <m:oMath>
        <m:r>
          <w:rPr>
            <w:rFonts w:ascii="Cambria Math" w:hAnsi="Cambria Math" w:cs="Times New Roman"/>
            <w:sz w:val="20"/>
            <w:szCs w:val="20"/>
            <w:lang w:val="en-GB"/>
          </w:rPr>
          <m:t>Employee ratio=</m:t>
        </m:r>
        <m:f>
          <m:fPr>
            <m:ctrlPr>
              <w:rPr>
                <w:rFonts w:ascii="Cambria Math" w:hAnsi="Cambria Math" w:cs="Times New Roman"/>
                <w:i/>
                <w:sz w:val="20"/>
                <w:szCs w:val="20"/>
                <w:lang w:val="en-GB"/>
              </w:rPr>
            </m:ctrlPr>
          </m:fPr>
          <m:num>
            <m:r>
              <w:rPr>
                <w:rFonts w:ascii="Cambria Math" w:hAnsi="Cambria Math" w:cs="Times New Roman"/>
                <w:sz w:val="20"/>
                <w:szCs w:val="20"/>
                <w:lang w:val="en-GB"/>
              </w:rPr>
              <m:t>Dk Health employees</m:t>
            </m:r>
          </m:num>
          <m:den>
            <m:r>
              <m:rPr>
                <m:nor/>
              </m:rPr>
              <w:rPr>
                <w:rFonts w:ascii="Times New Roman" w:hAnsi="Times New Roman" w:cs="Times New Roman"/>
                <w:i/>
                <w:sz w:val="20"/>
                <w:szCs w:val="20"/>
                <w:lang w:val="en-GB"/>
              </w:rPr>
              <m:t>NL Health employees</m:t>
            </m:r>
          </m:den>
        </m:f>
        <m:r>
          <w:rPr>
            <w:rFonts w:ascii="Cambria Math" w:hAnsi="Cambria Math" w:cs="Times New Roman"/>
            <w:sz w:val="20"/>
            <w:szCs w:val="20"/>
            <w:lang w:val="en-GB"/>
          </w:rPr>
          <m:t>=</m:t>
        </m:r>
        <m:f>
          <m:fPr>
            <m:ctrlPr>
              <w:rPr>
                <w:rFonts w:ascii="Cambria Math" w:hAnsi="Cambria Math" w:cs="Times New Roman"/>
                <w:i/>
                <w:sz w:val="20"/>
                <w:szCs w:val="20"/>
                <w:lang w:val="en-GB"/>
              </w:rPr>
            </m:ctrlPr>
          </m:fPr>
          <m:num>
            <m:r>
              <w:rPr>
                <w:rFonts w:ascii="Cambria Math" w:hAnsi="Cambria Math" w:cs="Times New Roman"/>
                <w:sz w:val="20"/>
                <w:szCs w:val="20"/>
                <w:lang w:val="en-GB"/>
              </w:rPr>
              <m:t>524000</m:t>
            </m:r>
          </m:num>
          <m:den>
            <m:r>
              <m:rPr>
                <m:nor/>
              </m:rPr>
              <w:rPr>
                <w:rFonts w:ascii="Cambria Math" w:hAnsi="Times New Roman" w:cs="Times New Roman"/>
                <w:i/>
                <w:sz w:val="20"/>
                <w:szCs w:val="20"/>
                <w:lang w:val="en-GB"/>
              </w:rPr>
              <m:t>1220750</m:t>
            </m:r>
          </m:den>
        </m:f>
        <m:r>
          <w:rPr>
            <w:rFonts w:ascii="Cambria Math" w:hAnsi="Cambria Math" w:cs="Times New Roman"/>
            <w:sz w:val="20"/>
            <w:szCs w:val="20"/>
            <w:lang w:val="en-GB"/>
          </w:rPr>
          <m:t>=0.429</m:t>
        </m:r>
      </m:oMath>
      <w:r>
        <w:tab/>
        <w:t>(A13)</w:t>
      </w:r>
    </w:p>
    <w:p w14:paraId="1BB7C6F7" w14:textId="26E0BBE3" w:rsidR="001C1600" w:rsidRPr="000F0CBE" w:rsidRDefault="00BA2A0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Calculating the difference in travel behaviour in this category was more complicated than for commuting. Observed differences in travel distances across key categories were: </w:t>
      </w:r>
    </w:p>
    <w:p w14:paraId="7458C3B3"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Commuting: approximately 8% higher in Denmark </w:t>
      </w:r>
    </w:p>
    <w:p w14:paraId="0C589F4B"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Total travel (all purposes): approximately 29% higher </w:t>
      </w:r>
    </w:p>
    <w:p w14:paraId="3EE3BE10" w14:textId="77777777" w:rsidR="00FE7BB8" w:rsidRPr="000F0CBE" w:rsidRDefault="00FE7BB8"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Service and errand-related travel: approximately 40% higher </w:t>
      </w:r>
    </w:p>
    <w:p w14:paraId="41FF4008" w14:textId="77777777" w:rsidR="006C5434" w:rsidRDefault="00FE7BB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Because none of these categories are perfectly aligned with patient and visitor travel, a central heuristic scaling factor was derived as the unweighted mean of these differences: </w:t>
      </w:r>
    </w:p>
    <w:p w14:paraId="78485309" w14:textId="77777777" w:rsidR="004C3780" w:rsidRDefault="00FD10E8">
      <w:pPr>
        <w:tabs>
          <w:tab w:val="center" w:pos="4819"/>
          <w:tab w:val="right" w:pos="9638"/>
        </w:tabs>
      </w:pPr>
      <w:r>
        <w:tab/>
      </w:r>
      <m:oMath>
        <m:r>
          <w:rPr>
            <w:rFonts w:ascii="Cambria Math" w:hAnsi="Cambria Math" w:cs="Times New Roman"/>
            <w:sz w:val="20"/>
            <w:szCs w:val="20"/>
            <w:lang w:val="en-GB"/>
          </w:rPr>
          <m:t>Scaling factor=</m:t>
        </m:r>
        <m:f>
          <m:fPr>
            <m:ctrlPr>
              <w:rPr>
                <w:rFonts w:ascii="Cambria Math" w:hAnsi="Cambria Math" w:cs="Times New Roman"/>
                <w:i/>
                <w:sz w:val="20"/>
                <w:szCs w:val="20"/>
                <w:lang w:val="en-GB"/>
              </w:rPr>
            </m:ctrlPr>
          </m:fPr>
          <m:num>
            <m:r>
              <w:rPr>
                <w:rFonts w:ascii="Cambria Math" w:hAnsi="Cambria Math" w:cs="Times New Roman"/>
                <w:sz w:val="20"/>
                <w:szCs w:val="20"/>
                <w:lang w:val="en-GB"/>
              </w:rPr>
              <m:t>8%+29%+40%</m:t>
            </m:r>
          </m:num>
          <m:den>
            <m:r>
              <m:rPr>
                <m:nor/>
              </m:rPr>
              <w:rPr>
                <w:rFonts w:ascii="Times New Roman" w:hAnsi="Times New Roman" w:cs="Times New Roman"/>
                <w:i/>
                <w:sz w:val="20"/>
                <w:szCs w:val="20"/>
                <w:lang w:val="en-GB"/>
              </w:rPr>
              <m:t>3</m:t>
            </m:r>
          </m:den>
        </m:f>
        <m:r>
          <m:rPr>
            <m:nor/>
          </m:rPr>
          <w:rPr>
            <w:rFonts w:ascii="Cambria Math" w:hAnsi="Cambria Math" w:cs="Times New Roman"/>
            <w:i/>
            <w:iCs/>
            <w:sz w:val="20"/>
            <w:szCs w:val="20"/>
            <w:lang w:val="en-GB"/>
          </w:rPr>
          <m:t>≈26%</m:t>
        </m:r>
      </m:oMath>
      <w:r>
        <w:tab/>
        <w:t>(A14)</w:t>
      </w:r>
    </w:p>
    <w:p w14:paraId="09A68233" w14:textId="77777777" w:rsidR="00B871B0" w:rsidRPr="000F0CBE" w:rsidRDefault="00B871B0"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This factor reflects a compromise between precision and robustness and is not intended as a statistical uncertainty bound. </w:t>
      </w:r>
    </w:p>
    <w:p w14:paraId="53DD90CE" w14:textId="77777777" w:rsidR="0028298B" w:rsidRPr="000F0CBE" w:rsidRDefault="00A56064"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Multiplying employee ratio with the distance adjustment: </w:t>
      </w:r>
    </w:p>
    <w:p w14:paraId="7609041A" w14:textId="77777777" w:rsidR="004C3780" w:rsidRDefault="00FD10E8">
      <w:pPr>
        <w:tabs>
          <w:tab w:val="center" w:pos="4819"/>
          <w:tab w:val="right" w:pos="9638"/>
        </w:tabs>
      </w:pPr>
      <w:r>
        <w:tab/>
      </w:r>
      <m:oMath>
        <m:r>
          <w:rPr>
            <w:rFonts w:ascii="Cambria Math" w:hAnsi="Cambria Math" w:cs="Times New Roman"/>
            <w:sz w:val="20"/>
            <w:szCs w:val="20"/>
            <w:lang w:val="en-GB"/>
          </w:rPr>
          <m:t>Dk P&amp;V tranvel emissions=</m:t>
        </m:r>
        <m:r>
          <m:rPr>
            <m:nor/>
          </m:rPr>
          <w:rPr>
            <w:rFonts w:ascii="Cambria Math" w:hAnsi="Cambria Math" w:cs="Times New Roman"/>
            <w:i/>
            <w:sz w:val="20"/>
            <w:szCs w:val="20"/>
            <w:lang w:val="en-GB"/>
          </w:rPr>
          <m:t>0.429 x 1.26</m:t>
        </m:r>
        <m:r>
          <w:rPr>
            <w:rFonts w:ascii="Cambria Math" w:hAnsi="Cambria Math" w:cs="Times New Roman"/>
            <w:sz w:val="20"/>
            <w:szCs w:val="20"/>
            <w:lang w:val="en-GB"/>
          </w:rPr>
          <m:t>≈0.541</m:t>
        </m:r>
      </m:oMath>
      <w:r>
        <w:tab/>
        <w:t>(A15)</w:t>
      </w:r>
    </w:p>
    <w:p w14:paraId="52EF4E68" w14:textId="77777777" w:rsidR="00B5775B" w:rsidRDefault="0028298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Thus, Danish patient and visitor emissions in 2019 were estimated to be approximately 0·54 (54%) of Dutch emissions in 2016. </w:t>
      </w:r>
    </w:p>
    <w:p w14:paraId="419FDA73"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Data sources and input</w:t>
      </w:r>
    </w:p>
    <w:p w14:paraId="2C8C527C"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Data used in the scaling procedure were obtained from:</w:t>
      </w:r>
    </w:p>
    <w:p w14:paraId="1E451752" w14:textId="77777777" w:rsidR="00B5775B" w:rsidRPr="000F0CBE" w:rsidRDefault="00B5775B" w:rsidP="000F0CBE">
      <w:pPr>
        <w:spacing w:line="240" w:lineRule="auto"/>
        <w:ind w:firstLine="1304"/>
        <w:rPr>
          <w:rFonts w:ascii="Times New Roman" w:hAnsi="Times New Roman" w:cs="Times New Roman"/>
          <w:sz w:val="20"/>
          <w:szCs w:val="20"/>
          <w:lang w:val="en-GB"/>
        </w:rPr>
      </w:pPr>
      <w:proofErr w:type="spellStart"/>
      <w:r>
        <w:rPr>
          <w:rFonts w:ascii="Times New Roman" w:hAnsi="Times New Roman" w:cs="Times New Roman"/>
          <w:sz w:val="20"/>
          <w:szCs w:val="20"/>
          <w:lang w:val="en-GB"/>
        </w:rPr>
        <w:t>Steenmeijer</w:t>
      </w:r>
      <w:proofErr w:type="spellEnd"/>
      <w:r>
        <w:rPr>
          <w:rFonts w:ascii="Times New Roman" w:hAnsi="Times New Roman" w:cs="Times New Roman"/>
          <w:sz w:val="20"/>
          <w:szCs w:val="20"/>
          <w:lang w:val="en-GB"/>
        </w:rPr>
        <w:t xml:space="preserve"> et al. (background documentation)</w:t>
      </w:r>
    </w:p>
    <w:p w14:paraId="5B9C6813"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Statistics Netherlands (CBS) mobility datasets</w:t>
      </w:r>
    </w:p>
    <w:p w14:paraId="1A517F17"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The Danish National Travel Survey (Technical University of Denmark)</w:t>
      </w:r>
    </w:p>
    <w:p w14:paraId="43855532"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Statistics Denmark (employment and labour force data)</w:t>
      </w:r>
    </w:p>
    <w:p w14:paraId="6D222FB6"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Key travel indicators included: </w:t>
      </w:r>
    </w:p>
    <w:p w14:paraId="538D3D12"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Average trip length and total travel distances </w:t>
      </w:r>
    </w:p>
    <w:p w14:paraId="6C6CC15D"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Commuting distances by purpose and mode </w:t>
      </w:r>
    </w:p>
    <w:p w14:paraId="23430738" w14:textId="77777777" w:rsidR="00B5775B" w:rsidRPr="000F0CBE" w:rsidRDefault="00B5775B" w:rsidP="000F0CBE">
      <w:pPr>
        <w:spacing w:line="240" w:lineRule="auto"/>
        <w:ind w:firstLine="1304"/>
        <w:rPr>
          <w:rFonts w:ascii="Times New Roman" w:hAnsi="Times New Roman" w:cs="Times New Roman"/>
          <w:sz w:val="20"/>
          <w:szCs w:val="20"/>
          <w:lang w:val="en-GB"/>
        </w:rPr>
      </w:pPr>
      <w:r>
        <w:rPr>
          <w:rFonts w:ascii="Times New Roman" w:hAnsi="Times New Roman" w:cs="Times New Roman"/>
          <w:sz w:val="20"/>
          <w:szCs w:val="20"/>
          <w:lang w:val="en-GB"/>
        </w:rPr>
        <w:t xml:space="preserve">Modal split and travel time by transport mode </w:t>
      </w:r>
    </w:p>
    <w:p w14:paraId="5D78C1B0" w14:textId="77777777" w:rsidR="00B5775B" w:rsidRPr="000F0CBE" w:rsidRDefault="00B5775B"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Uncertainties and limitations</w:t>
      </w:r>
    </w:p>
    <w:p w14:paraId="7CAB6EAD" w14:textId="77777777" w:rsidR="00B5775B" w:rsidRPr="000F0CBE" w:rsidRDefault="00B5775B"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lastRenderedPageBreak/>
        <w:t xml:space="preserve">Several sources of uncertainty are associated with the scaling approach. First, data for Denmark in 2019 and the Netherlands in 2016 are not temporally aligned. Second, the assumption that the number of patients and visitors scale proportionally with healthcare employment may not fully capture differences in healthcare utilisation patterns. Third, the use of a heuristic distance scaling factor simplifies complex differences in travel behaviour and infrastructure. </w:t>
      </w:r>
    </w:p>
    <w:p w14:paraId="57C1D8B5" w14:textId="77777777" w:rsidR="002B47D8" w:rsidRPr="000F0CBE" w:rsidRDefault="002B47D8" w:rsidP="000F0CBE">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 xml:space="preserve">Data availability </w:t>
      </w:r>
    </w:p>
    <w:p w14:paraId="42A38D51" w14:textId="77777777" w:rsidR="002B47D8" w:rsidRPr="000F0CBE" w:rsidRDefault="0076281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Materials required to reproduce the analysis are available in a public repository (</w:t>
      </w:r>
      <w:proofErr w:type="spellStart"/>
      <w:r>
        <w:rPr>
          <w:rFonts w:ascii="Times New Roman" w:hAnsi="Times New Roman" w:cs="Times New Roman"/>
          <w:sz w:val="20"/>
          <w:szCs w:val="20"/>
          <w:lang w:val="en-GB"/>
        </w:rPr>
        <w:t>Zenodo</w:t>
      </w:r>
      <w:proofErr w:type="spellEnd"/>
      <w:r>
        <w:rPr>
          <w:rFonts w:ascii="Times New Roman" w:hAnsi="Times New Roman" w:cs="Times New Roman"/>
          <w:sz w:val="20"/>
          <w:szCs w:val="20"/>
          <w:lang w:val="en-GB"/>
        </w:rPr>
        <w:t xml:space="preserve"> DOI: 10.5281/zenodo.20542390). These include the modified Python scripts implementing the Danish model, Danish Supply-Use Table extraction and preprocessing scripts, the SHA-to-EXIOBASE concordance, bottom-up datasets (nitrous oxide,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and private travel), and figure-generation code, along with documentation describing the modelling workflow. </w:t>
      </w:r>
    </w:p>
    <w:p w14:paraId="1771360B" w14:textId="77777777"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analysis relies on EXIOBASE v3.7 and Danish national accounts data from Statistics Denmark, which are subject to licensing and access restrictions and must be obtained independently. All other data generated or analysed during this study are included in the repository. </w:t>
      </w:r>
    </w:p>
    <w:p w14:paraId="6D3300C3" w14:textId="3991A300"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analysis was implemented in Python (v3.11.7) using pandas (v2.1.4), </w:t>
      </w:r>
      <w:proofErr w:type="spellStart"/>
      <w:r>
        <w:rPr>
          <w:rFonts w:ascii="Times New Roman" w:hAnsi="Times New Roman" w:cs="Times New Roman"/>
          <w:sz w:val="20"/>
          <w:szCs w:val="20"/>
          <w:lang w:val="en-GB"/>
        </w:rPr>
        <w:t>numpy</w:t>
      </w:r>
      <w:proofErr w:type="spellEnd"/>
      <w:r>
        <w:rPr>
          <w:rFonts w:ascii="Times New Roman" w:hAnsi="Times New Roman" w:cs="Times New Roman"/>
          <w:sz w:val="20"/>
          <w:szCs w:val="20"/>
          <w:lang w:val="en-GB"/>
        </w:rPr>
        <w:t xml:space="preserve"> (v1.26.4), and matplotlib (v3.8.0). The model implementation corresponds to repository release v1.0.</w:t>
      </w:r>
      <w:r w:rsidR="003E14F8">
        <w:rPr>
          <w:rFonts w:ascii="Times New Roman" w:hAnsi="Times New Roman" w:cs="Times New Roman"/>
          <w:sz w:val="20"/>
          <w:szCs w:val="20"/>
          <w:lang w:val="en-GB"/>
        </w:rPr>
        <w:t>1</w:t>
      </w:r>
      <w:r>
        <w:rPr>
          <w:rFonts w:ascii="Times New Roman" w:hAnsi="Times New Roman" w:cs="Times New Roman"/>
          <w:sz w:val="20"/>
          <w:szCs w:val="20"/>
          <w:lang w:val="en-GB"/>
        </w:rPr>
        <w:t xml:space="preserve"> (DOI: </w:t>
      </w:r>
      <w:hyperlink r:id="rId12" w:history="1">
        <w:r w:rsidR="004319DB" w:rsidRPr="004319DB">
          <w:rPr>
            <w:rStyle w:val="Hyperlink"/>
            <w:rFonts w:ascii="Times New Roman" w:hAnsi="Times New Roman" w:cs="Times New Roman"/>
            <w:sz w:val="20"/>
            <w:szCs w:val="20"/>
          </w:rPr>
          <w:t>10.5281/zenodo.21493995</w:t>
        </w:r>
      </w:hyperlink>
      <w:r>
        <w:rPr>
          <w:rFonts w:ascii="Times New Roman" w:hAnsi="Times New Roman" w:cs="Times New Roman"/>
          <w:sz w:val="20"/>
          <w:szCs w:val="20"/>
          <w:lang w:val="en-GB"/>
        </w:rPr>
        <w:t xml:space="preserve">). </w:t>
      </w:r>
    </w:p>
    <w:p w14:paraId="58B11E97" w14:textId="77777777" w:rsidR="00161887" w:rsidRPr="000F0CBE" w:rsidRDefault="00161887" w:rsidP="00161887">
      <w:pPr>
        <w:spacing w:line="240" w:lineRule="auto"/>
        <w:rPr>
          <w:rFonts w:ascii="Times New Roman" w:hAnsi="Times New Roman" w:cs="Times New Roman"/>
          <w:i/>
          <w:iCs/>
          <w:sz w:val="20"/>
          <w:szCs w:val="20"/>
          <w:lang w:val="en-GB"/>
        </w:rPr>
      </w:pPr>
      <w:r>
        <w:rPr>
          <w:rFonts w:ascii="Times New Roman" w:hAnsi="Times New Roman" w:cs="Times New Roman"/>
          <w:i/>
          <w:iCs/>
          <w:sz w:val="20"/>
          <w:szCs w:val="20"/>
          <w:lang w:val="en-GB"/>
        </w:rPr>
        <w:t>Scope 1, scope 2, and scope 3 of greenhouse gas emissions</w:t>
      </w:r>
    </w:p>
    <w:p w14:paraId="1DEF7A79" w14:textId="77777777" w:rsidR="002B47D8" w:rsidRPr="000F0CBE" w:rsidRDefault="002B47D8"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A Scope 1-3 decomposition of greenhouse gas emissions was conducted by combining the EEIO framework with the bottom-up estimates. Scope 1 was defined as direct emissions from Danish healthcare service sectors, supplemented with bottom-up estimates of anaesthetic gases and </w:t>
      </w:r>
      <w:proofErr w:type="spellStart"/>
      <w:r>
        <w:rPr>
          <w:rFonts w:ascii="Times New Roman" w:hAnsi="Times New Roman" w:cs="Times New Roman"/>
          <w:sz w:val="20"/>
          <w:szCs w:val="20"/>
          <w:lang w:val="en-GB"/>
        </w:rPr>
        <w:t>pMDIs</w:t>
      </w:r>
      <w:proofErr w:type="spellEnd"/>
      <w:r>
        <w:rPr>
          <w:rFonts w:ascii="Times New Roman" w:hAnsi="Times New Roman" w:cs="Times New Roman"/>
          <w:sz w:val="20"/>
          <w:szCs w:val="20"/>
          <w:lang w:val="en-GB"/>
        </w:rPr>
        <w:t xml:space="preserve">. Scope 2 includes emissions from electricity, gas, and heat supply induced by healthcare demand. Scope 3 was calculated as the residual and includes all upstream supply-chain emissions. </w:t>
      </w:r>
    </w:p>
    <w:p w14:paraId="073A31DA" w14:textId="77777777" w:rsidR="002472CE" w:rsidRPr="000F0CBE" w:rsidRDefault="002B47D8" w:rsidP="000F0CBE">
      <w:pPr>
        <w:spacing w:line="240" w:lineRule="auto"/>
        <w:rPr>
          <w:rFonts w:ascii="Times New Roman" w:hAnsi="Times New Roman" w:cs="Times New Roman"/>
          <w:b/>
          <w:bCs/>
          <w:sz w:val="20"/>
          <w:szCs w:val="20"/>
          <w:lang w:val="en-GB"/>
        </w:rPr>
      </w:pPr>
      <w:r>
        <w:rPr>
          <w:rFonts w:ascii="Times New Roman" w:hAnsi="Times New Roman" w:cs="Times New Roman"/>
          <w:sz w:val="20"/>
          <w:szCs w:val="20"/>
          <w:lang w:val="en-GB"/>
        </w:rPr>
        <w:t xml:space="preserve">Due to the structure of EXIOBASE, emissions are allocated to producing sectors rather than to the sector exercising operational control. As a result, activities such as transport are represented as upstream services, and associated fuel emissions (from ambulances, helicopters, etc.) are attributed to the transport sector rather than to healthcare service delivery. Consequently, Scope 1 is structurally underestimated and Scope 3 correspondingly overestimated, mainly because all travel-related emissions are included within Scope 3. </w:t>
      </w:r>
    </w:p>
    <w:p w14:paraId="5E972D05" w14:textId="77777777" w:rsidR="002472CE" w:rsidRPr="000F0CBE" w:rsidRDefault="002472CE" w:rsidP="000F0CBE">
      <w:pPr>
        <w:spacing w:line="240" w:lineRule="auto"/>
        <w:rPr>
          <w:rFonts w:ascii="Times New Roman" w:hAnsi="Times New Roman" w:cs="Times New Roman"/>
          <w:i/>
          <w:iCs/>
          <w:sz w:val="20"/>
          <w:szCs w:val="20"/>
          <w:lang w:val="en-GB"/>
        </w:rPr>
      </w:pPr>
      <w:r>
        <w:rPr>
          <w:rFonts w:ascii="Times New Roman" w:hAnsi="Times New Roman" w:cs="Times New Roman"/>
          <w:noProof/>
          <w:sz w:val="20"/>
          <w:szCs w:val="20"/>
          <w:lang w:val="en-GB"/>
        </w:rPr>
        <w:lastRenderedPageBreak/>
        <w:drawing>
          <wp:inline distT="0" distB="0" distL="0" distR="0" wp14:anchorId="6254D2F0" wp14:editId="6B2D24B1">
            <wp:extent cx="5943600" cy="4572000"/>
            <wp:effectExtent l="0" t="0" r="0" b="0"/>
            <wp:docPr id="1329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4572000"/>
                    </a:xfrm>
                    <a:prstGeom prst="rect">
                      <a:avLst/>
                    </a:prstGeom>
                    <a:noFill/>
                    <a:ln>
                      <a:noFill/>
                    </a:ln>
                  </pic:spPr>
                </pic:pic>
              </a:graphicData>
            </a:graphic>
          </wp:inline>
        </w:drawing>
      </w:r>
      <w:r>
        <w:rPr>
          <w:rFonts w:ascii="Times New Roman" w:hAnsi="Times New Roman" w:cs="Times New Roman"/>
          <w:i/>
          <w:iCs/>
          <w:sz w:val="20"/>
          <w:szCs w:val="20"/>
          <w:lang w:val="en-GB"/>
        </w:rPr>
        <w:t xml:space="preserve"> Figure A2: Greenhouse gas emissions associated with Danish healthcare provision in 2019 disaggregated by Scope 1, Scope 2, and Scope 3 (kt </w:t>
      </w:r>
      <w:proofErr w:type="spellStart"/>
      <w:r>
        <w:rPr>
          <w:rFonts w:ascii="Times New Roman" w:hAnsi="Times New Roman" w:cs="Times New Roman"/>
          <w:i/>
          <w:iCs/>
          <w:sz w:val="20"/>
          <w:szCs w:val="20"/>
          <w:lang w:val="en-GB"/>
        </w:rPr>
        <w:t>CO₂e</w:t>
      </w:r>
      <w:proofErr w:type="spellEnd"/>
      <w:r>
        <w:rPr>
          <w:rFonts w:ascii="Times New Roman" w:hAnsi="Times New Roman" w:cs="Times New Roman"/>
          <w:i/>
          <w:iCs/>
          <w:sz w:val="20"/>
          <w:szCs w:val="20"/>
          <w:lang w:val="en-GB"/>
        </w:rPr>
        <w:t xml:space="preserve">), using an EE‑MRIO framework (EXIOBASE v3.7) supplemented with bottom-up estimates. Scope 1 includes direct emissions from healthcare services and bottom-up additions (anaesthetic gases and </w:t>
      </w:r>
      <w:proofErr w:type="spellStart"/>
      <w:r>
        <w:rPr>
          <w:rFonts w:ascii="Times New Roman" w:hAnsi="Times New Roman" w:cs="Times New Roman"/>
          <w:i/>
          <w:iCs/>
          <w:sz w:val="20"/>
          <w:szCs w:val="20"/>
          <w:lang w:val="en-GB"/>
        </w:rPr>
        <w:t>pMDIs</w:t>
      </w:r>
      <w:proofErr w:type="spellEnd"/>
      <w:r>
        <w:rPr>
          <w:rFonts w:ascii="Times New Roman" w:hAnsi="Times New Roman" w:cs="Times New Roman"/>
          <w:i/>
          <w:iCs/>
          <w:sz w:val="20"/>
          <w:szCs w:val="20"/>
          <w:lang w:val="en-GB"/>
        </w:rPr>
        <w:t xml:space="preserve">), Scope 2 includes emissions from electricity and heat supply, and Scope 3 includes upstream supply-chain impacts and private travel. Due to the MRIO accounting structure, </w:t>
      </w:r>
      <w:proofErr w:type="gramStart"/>
      <w:r>
        <w:rPr>
          <w:rFonts w:ascii="Times New Roman" w:hAnsi="Times New Roman" w:cs="Times New Roman"/>
          <w:i/>
          <w:iCs/>
          <w:sz w:val="20"/>
          <w:szCs w:val="20"/>
          <w:lang w:val="en-GB"/>
        </w:rPr>
        <w:t>the majority of</w:t>
      </w:r>
      <w:proofErr w:type="gramEnd"/>
      <w:r>
        <w:rPr>
          <w:rFonts w:ascii="Times New Roman" w:hAnsi="Times New Roman" w:cs="Times New Roman"/>
          <w:i/>
          <w:iCs/>
          <w:sz w:val="20"/>
          <w:szCs w:val="20"/>
          <w:lang w:val="en-GB"/>
        </w:rPr>
        <w:t xml:space="preserve"> operational emissions are attributed to supplying sectors, resulting in a significant underestimation of Scope 1 and corresponding overestimation of Scope 3. </w:t>
      </w:r>
    </w:p>
    <w:p w14:paraId="68A6F4D4" w14:textId="77777777" w:rsidR="002472CE" w:rsidRPr="000F0CBE" w:rsidRDefault="002472CE"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The Scope 1-3 decomposition shows that emissions associated with Danish healthcare are mostly Scope 3 (4307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followed by Scope 2 (461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while Scope 1 contributes a minor share (46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Private travel-related emissions are included within Scope 3. Diagnostics showed that only 3% of scope 1 emissions originated from the EEIO data, grossly underestimating emissions from fuels used in ambulances, medical helicopters, and refrigerant leakage; while the rest of the 97% were from the bottom-up data. The low contribution of Scope 1 reflects the allocation structure of the EEIO framework rather than the absence of direct operational emissions. </w:t>
      </w:r>
    </w:p>
    <w:p w14:paraId="680B44F3" w14:textId="77777777" w:rsidR="00AF2DBA" w:rsidRPr="000F0CBE" w:rsidRDefault="00D0193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 xml:space="preserve">Results </w:t>
      </w:r>
    </w:p>
    <w:p w14:paraId="1361199D" w14:textId="77777777" w:rsidR="00655694" w:rsidRPr="000F0CBE" w:rsidRDefault="00C07499"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The following tables show the results in greater detail.</w:t>
      </w:r>
    </w:p>
    <w:p w14:paraId="0F204EC4" w14:textId="77777777" w:rsidR="00967B82" w:rsidRPr="000F0CBE" w:rsidRDefault="00967B82"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A1 presents absolute environmental impacts associated with Danish healthcare consumption in 2019, disaggregated by consumption category. Results are reported for five impact categories: climate change, material extraction, blue water consumption, land use, and waste generation. The table illustrates the magnitude of contributions across nine activities: </w:t>
      </w:r>
    </w:p>
    <w:tbl>
      <w:tblPr>
        <w:tblStyle w:val="PlainTable1"/>
        <w:tblW w:w="0" w:type="auto"/>
        <w:tblLook w:val="04A0" w:firstRow="1" w:lastRow="0" w:firstColumn="1" w:lastColumn="0" w:noHBand="0" w:noVBand="1"/>
      </w:tblPr>
      <w:tblGrid>
        <w:gridCol w:w="2556"/>
        <w:gridCol w:w="1558"/>
        <w:gridCol w:w="1393"/>
        <w:gridCol w:w="1851"/>
        <w:gridCol w:w="959"/>
        <w:gridCol w:w="1311"/>
      </w:tblGrid>
      <w:tr w:rsidR="00A92998" w:rsidRPr="000F0CBE" w14:paraId="4C49C8D0" w14:textId="77777777" w:rsidTr="001705DA">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57A678E" w14:textId="77777777" w:rsidR="00A92998" w:rsidRPr="000F0CBE" w:rsidRDefault="00A92998" w:rsidP="000F0CBE">
            <w:pPr>
              <w:rPr>
                <w:rFonts w:ascii="Times New Roman" w:hAnsi="Times New Roman" w:cs="Times New Roman"/>
                <w:sz w:val="20"/>
                <w:szCs w:val="20"/>
                <w:lang w:val="en-GB"/>
              </w:rPr>
            </w:pPr>
            <w:r>
              <w:rPr>
                <w:rFonts w:ascii="Times New Roman" w:hAnsi="Times New Roman" w:cs="Times New Roman"/>
                <w:sz w:val="20"/>
                <w:szCs w:val="20"/>
                <w:lang w:val="en-GB"/>
              </w:rPr>
              <w:t>Contribution</w:t>
            </w:r>
          </w:p>
        </w:tc>
        <w:tc>
          <w:tcPr>
            <w:tcW w:w="1558" w:type="dxa"/>
            <w:noWrap/>
            <w:hideMark/>
          </w:tcPr>
          <w:p w14:paraId="23E38ED3"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393" w:type="dxa"/>
            <w:noWrap/>
            <w:hideMark/>
          </w:tcPr>
          <w:p w14:paraId="6BEAFF21"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851" w:type="dxa"/>
            <w:noWrap/>
            <w:hideMark/>
          </w:tcPr>
          <w:p w14:paraId="314A83F5"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959" w:type="dxa"/>
            <w:noWrap/>
            <w:hideMark/>
          </w:tcPr>
          <w:p w14:paraId="12B5284C"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311" w:type="dxa"/>
            <w:noWrap/>
            <w:hideMark/>
          </w:tcPr>
          <w:p w14:paraId="4AD79A5D" w14:textId="77777777" w:rsidR="00A92998" w:rsidRPr="000F0CBE" w:rsidRDefault="00A929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A92998" w:rsidRPr="000F0CBE" w14:paraId="67A9D3FF"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5A9A40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Food and food services</w:t>
            </w:r>
          </w:p>
        </w:tc>
        <w:tc>
          <w:tcPr>
            <w:tcW w:w="1558" w:type="dxa"/>
            <w:noWrap/>
            <w:hideMark/>
          </w:tcPr>
          <w:p w14:paraId="1806CA4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287</w:t>
            </w:r>
          </w:p>
        </w:tc>
        <w:tc>
          <w:tcPr>
            <w:tcW w:w="1393" w:type="dxa"/>
            <w:noWrap/>
            <w:hideMark/>
          </w:tcPr>
          <w:p w14:paraId="578A096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80</w:t>
            </w:r>
          </w:p>
        </w:tc>
        <w:tc>
          <w:tcPr>
            <w:tcW w:w="1851" w:type="dxa"/>
            <w:noWrap/>
            <w:hideMark/>
          </w:tcPr>
          <w:p w14:paraId="6597ED44"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12</w:t>
            </w:r>
          </w:p>
        </w:tc>
        <w:tc>
          <w:tcPr>
            <w:tcW w:w="959" w:type="dxa"/>
            <w:noWrap/>
            <w:hideMark/>
          </w:tcPr>
          <w:p w14:paraId="107627A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952</w:t>
            </w:r>
          </w:p>
        </w:tc>
        <w:tc>
          <w:tcPr>
            <w:tcW w:w="1311" w:type="dxa"/>
            <w:noWrap/>
            <w:hideMark/>
          </w:tcPr>
          <w:p w14:paraId="1FDC760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127</w:t>
            </w:r>
          </w:p>
        </w:tc>
      </w:tr>
      <w:tr w:rsidR="00A92998" w:rsidRPr="000F0CBE" w14:paraId="409EB44E"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936C077"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lastRenderedPageBreak/>
              <w:t>Heat and electricity</w:t>
            </w:r>
          </w:p>
        </w:tc>
        <w:tc>
          <w:tcPr>
            <w:tcW w:w="1558" w:type="dxa"/>
            <w:noWrap/>
            <w:hideMark/>
          </w:tcPr>
          <w:p w14:paraId="44828579"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52</w:t>
            </w:r>
          </w:p>
        </w:tc>
        <w:tc>
          <w:tcPr>
            <w:tcW w:w="1393" w:type="dxa"/>
            <w:noWrap/>
            <w:hideMark/>
          </w:tcPr>
          <w:p w14:paraId="5E4750B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14</w:t>
            </w:r>
          </w:p>
        </w:tc>
        <w:tc>
          <w:tcPr>
            <w:tcW w:w="1851" w:type="dxa"/>
            <w:noWrap/>
            <w:hideMark/>
          </w:tcPr>
          <w:p w14:paraId="70EF790E"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w:t>
            </w:r>
          </w:p>
        </w:tc>
        <w:tc>
          <w:tcPr>
            <w:tcW w:w="959" w:type="dxa"/>
            <w:noWrap/>
            <w:hideMark/>
          </w:tcPr>
          <w:p w14:paraId="2E03F75D"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24</w:t>
            </w:r>
          </w:p>
        </w:tc>
        <w:tc>
          <w:tcPr>
            <w:tcW w:w="1311" w:type="dxa"/>
            <w:noWrap/>
            <w:hideMark/>
          </w:tcPr>
          <w:p w14:paraId="6935663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12</w:t>
            </w:r>
          </w:p>
        </w:tc>
      </w:tr>
      <w:tr w:rsidR="00A92998" w:rsidRPr="000F0CBE" w14:paraId="18E5BB22"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2377DEE4"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Individual travel</w:t>
            </w:r>
          </w:p>
        </w:tc>
        <w:tc>
          <w:tcPr>
            <w:tcW w:w="1558" w:type="dxa"/>
            <w:noWrap/>
            <w:hideMark/>
          </w:tcPr>
          <w:p w14:paraId="48AEA06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540</w:t>
            </w:r>
          </w:p>
        </w:tc>
        <w:tc>
          <w:tcPr>
            <w:tcW w:w="1393" w:type="dxa"/>
            <w:noWrap/>
            <w:hideMark/>
          </w:tcPr>
          <w:p w14:paraId="6E4C6582"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25</w:t>
            </w:r>
          </w:p>
        </w:tc>
        <w:tc>
          <w:tcPr>
            <w:tcW w:w="1851" w:type="dxa"/>
            <w:noWrap/>
            <w:hideMark/>
          </w:tcPr>
          <w:p w14:paraId="03DF211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w:t>
            </w:r>
          </w:p>
        </w:tc>
        <w:tc>
          <w:tcPr>
            <w:tcW w:w="959" w:type="dxa"/>
            <w:noWrap/>
            <w:hideMark/>
          </w:tcPr>
          <w:p w14:paraId="22063D2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w:t>
            </w:r>
          </w:p>
        </w:tc>
        <w:tc>
          <w:tcPr>
            <w:tcW w:w="1311" w:type="dxa"/>
            <w:noWrap/>
            <w:hideMark/>
          </w:tcPr>
          <w:p w14:paraId="64652FC0"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w:t>
            </w:r>
          </w:p>
        </w:tc>
      </w:tr>
      <w:tr w:rsidR="00A92998" w:rsidRPr="000F0CBE" w14:paraId="2E5F6E07"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4048CDC9"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Medical, electrical equipment and machinery</w:t>
            </w:r>
          </w:p>
        </w:tc>
        <w:tc>
          <w:tcPr>
            <w:tcW w:w="1558" w:type="dxa"/>
            <w:noWrap/>
            <w:hideMark/>
          </w:tcPr>
          <w:p w14:paraId="440B67F8"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224</w:t>
            </w:r>
          </w:p>
        </w:tc>
        <w:tc>
          <w:tcPr>
            <w:tcW w:w="1393" w:type="dxa"/>
            <w:noWrap/>
            <w:hideMark/>
          </w:tcPr>
          <w:p w14:paraId="04A067A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170</w:t>
            </w:r>
          </w:p>
        </w:tc>
        <w:tc>
          <w:tcPr>
            <w:tcW w:w="1851" w:type="dxa"/>
            <w:noWrap/>
            <w:hideMark/>
          </w:tcPr>
          <w:p w14:paraId="18B5C50B"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w:t>
            </w:r>
          </w:p>
        </w:tc>
        <w:tc>
          <w:tcPr>
            <w:tcW w:w="959" w:type="dxa"/>
            <w:noWrap/>
            <w:hideMark/>
          </w:tcPr>
          <w:p w14:paraId="1054FA2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137</w:t>
            </w:r>
          </w:p>
        </w:tc>
        <w:tc>
          <w:tcPr>
            <w:tcW w:w="1311" w:type="dxa"/>
            <w:noWrap/>
            <w:hideMark/>
          </w:tcPr>
          <w:p w14:paraId="270CBA9A"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71</w:t>
            </w:r>
          </w:p>
        </w:tc>
      </w:tr>
      <w:tr w:rsidR="00A92998" w:rsidRPr="000F0CBE" w14:paraId="3B83A910"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1E0CD258"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558" w:type="dxa"/>
            <w:noWrap/>
            <w:hideMark/>
          </w:tcPr>
          <w:p w14:paraId="6CEE3E9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11</w:t>
            </w:r>
          </w:p>
        </w:tc>
        <w:tc>
          <w:tcPr>
            <w:tcW w:w="1393" w:type="dxa"/>
            <w:noWrap/>
            <w:hideMark/>
          </w:tcPr>
          <w:p w14:paraId="0AE48279"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w:t>
            </w:r>
          </w:p>
        </w:tc>
        <w:tc>
          <w:tcPr>
            <w:tcW w:w="1851" w:type="dxa"/>
            <w:noWrap/>
            <w:hideMark/>
          </w:tcPr>
          <w:p w14:paraId="7B6E1E6A"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w:t>
            </w:r>
          </w:p>
        </w:tc>
        <w:tc>
          <w:tcPr>
            <w:tcW w:w="959" w:type="dxa"/>
            <w:noWrap/>
            <w:hideMark/>
          </w:tcPr>
          <w:p w14:paraId="4A91CD21"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w:t>
            </w:r>
          </w:p>
        </w:tc>
        <w:tc>
          <w:tcPr>
            <w:tcW w:w="1311" w:type="dxa"/>
            <w:noWrap/>
            <w:hideMark/>
          </w:tcPr>
          <w:p w14:paraId="5677584F"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176</w:t>
            </w:r>
          </w:p>
        </w:tc>
      </w:tr>
      <w:tr w:rsidR="00A92998" w:rsidRPr="000F0CBE" w14:paraId="1F5ABE71"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6A907BCC"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Pharmaceuticals and chemical products</w:t>
            </w:r>
          </w:p>
        </w:tc>
        <w:tc>
          <w:tcPr>
            <w:tcW w:w="1558" w:type="dxa"/>
            <w:noWrap/>
            <w:hideMark/>
          </w:tcPr>
          <w:p w14:paraId="43EA2763"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850</w:t>
            </w:r>
          </w:p>
        </w:tc>
        <w:tc>
          <w:tcPr>
            <w:tcW w:w="1393" w:type="dxa"/>
            <w:noWrap/>
            <w:hideMark/>
          </w:tcPr>
          <w:p w14:paraId="08F5D87C"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1215</w:t>
            </w:r>
          </w:p>
        </w:tc>
        <w:tc>
          <w:tcPr>
            <w:tcW w:w="1851" w:type="dxa"/>
            <w:noWrap/>
            <w:hideMark/>
          </w:tcPr>
          <w:p w14:paraId="5A7EC684"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18</w:t>
            </w:r>
          </w:p>
        </w:tc>
        <w:tc>
          <w:tcPr>
            <w:tcW w:w="959" w:type="dxa"/>
            <w:noWrap/>
            <w:hideMark/>
          </w:tcPr>
          <w:p w14:paraId="4C929C01"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806</w:t>
            </w:r>
          </w:p>
        </w:tc>
        <w:tc>
          <w:tcPr>
            <w:tcW w:w="1311" w:type="dxa"/>
            <w:noWrap/>
            <w:hideMark/>
          </w:tcPr>
          <w:p w14:paraId="2F77BB57" w14:textId="77777777" w:rsidR="00A92998" w:rsidRPr="000F0CBE" w:rsidRDefault="00A92998"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236</w:t>
            </w:r>
          </w:p>
        </w:tc>
      </w:tr>
      <w:tr w:rsidR="00A92998" w:rsidRPr="000F0CBE" w14:paraId="323CF307"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hideMark/>
          </w:tcPr>
          <w:p w14:paraId="7748B39D" w14:textId="77777777" w:rsidR="00A92998" w:rsidRPr="000F0CBE" w:rsidRDefault="00A92998"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Services</w:t>
            </w:r>
          </w:p>
        </w:tc>
        <w:tc>
          <w:tcPr>
            <w:tcW w:w="1558" w:type="dxa"/>
            <w:noWrap/>
            <w:hideMark/>
          </w:tcPr>
          <w:p w14:paraId="3B1F8193"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651</w:t>
            </w:r>
          </w:p>
        </w:tc>
        <w:tc>
          <w:tcPr>
            <w:tcW w:w="1393" w:type="dxa"/>
            <w:noWrap/>
            <w:hideMark/>
          </w:tcPr>
          <w:p w14:paraId="42BAC1D7"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229</w:t>
            </w:r>
          </w:p>
        </w:tc>
        <w:tc>
          <w:tcPr>
            <w:tcW w:w="1851" w:type="dxa"/>
            <w:noWrap/>
            <w:hideMark/>
          </w:tcPr>
          <w:p w14:paraId="11AB1BF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7</w:t>
            </w:r>
          </w:p>
        </w:tc>
        <w:tc>
          <w:tcPr>
            <w:tcW w:w="959" w:type="dxa"/>
            <w:noWrap/>
            <w:hideMark/>
          </w:tcPr>
          <w:p w14:paraId="6C5D8C4E"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425</w:t>
            </w:r>
          </w:p>
        </w:tc>
        <w:tc>
          <w:tcPr>
            <w:tcW w:w="1311" w:type="dxa"/>
            <w:noWrap/>
            <w:hideMark/>
          </w:tcPr>
          <w:p w14:paraId="5BDC6C8B" w14:textId="77777777" w:rsidR="00A92998" w:rsidRPr="000F0CBE" w:rsidRDefault="00A92998"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85</w:t>
            </w:r>
          </w:p>
        </w:tc>
      </w:tr>
      <w:tr w:rsidR="001705DA" w:rsidRPr="000F0CBE" w14:paraId="5FBA248C" w14:textId="77777777" w:rsidTr="001705DA">
        <w:trPr>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49E7CEEB" w14:textId="1FBD4983" w:rsidR="001705DA" w:rsidRDefault="001705DA" w:rsidP="001705DA">
            <w:pPr>
              <w:rPr>
                <w:rFonts w:ascii="Times New Roman" w:hAnsi="Times New Roman" w:cs="Times New Roman"/>
                <w:sz w:val="20"/>
                <w:szCs w:val="20"/>
                <w:lang w:val="en-GB"/>
              </w:rPr>
            </w:pPr>
            <w:r>
              <w:rPr>
                <w:rFonts w:ascii="Times New Roman" w:hAnsi="Times New Roman" w:cs="Times New Roman"/>
                <w:b w:val="0"/>
                <w:bCs w:val="0"/>
                <w:sz w:val="20"/>
                <w:szCs w:val="20"/>
                <w:lang w:val="en-GB"/>
              </w:rPr>
              <w:t>Transport</w:t>
            </w:r>
          </w:p>
        </w:tc>
        <w:tc>
          <w:tcPr>
            <w:tcW w:w="1558" w:type="dxa"/>
            <w:noWrap/>
          </w:tcPr>
          <w:p w14:paraId="5CF9D90C" w14:textId="3BB9F471"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1855</w:t>
            </w:r>
          </w:p>
        </w:tc>
        <w:tc>
          <w:tcPr>
            <w:tcW w:w="1393" w:type="dxa"/>
            <w:noWrap/>
          </w:tcPr>
          <w:p w14:paraId="78088CBB" w14:textId="67E36253"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139</w:t>
            </w:r>
          </w:p>
        </w:tc>
        <w:tc>
          <w:tcPr>
            <w:tcW w:w="1851" w:type="dxa"/>
            <w:noWrap/>
          </w:tcPr>
          <w:p w14:paraId="7B0BC6EF" w14:textId="193FEABD"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4</w:t>
            </w:r>
          </w:p>
        </w:tc>
        <w:tc>
          <w:tcPr>
            <w:tcW w:w="959" w:type="dxa"/>
            <w:noWrap/>
          </w:tcPr>
          <w:p w14:paraId="0DDBB956" w14:textId="441D0D4E"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258</w:t>
            </w:r>
          </w:p>
        </w:tc>
        <w:tc>
          <w:tcPr>
            <w:tcW w:w="1311" w:type="dxa"/>
            <w:noWrap/>
          </w:tcPr>
          <w:p w14:paraId="4161CB1E" w14:textId="29944F77" w:rsidR="001705DA" w:rsidRDefault="001705DA" w:rsidP="001705D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61</w:t>
            </w:r>
          </w:p>
        </w:tc>
      </w:tr>
      <w:tr w:rsidR="001705DA" w:rsidRPr="000F0CBE" w14:paraId="395A4B8B" w14:textId="77777777" w:rsidTr="001705DA">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556" w:type="dxa"/>
            <w:noWrap/>
          </w:tcPr>
          <w:p w14:paraId="674427E9" w14:textId="70B7FEA9" w:rsidR="001705DA" w:rsidRPr="000F0CBE" w:rsidRDefault="001705DA" w:rsidP="001705DA">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Unallocated</w:t>
            </w:r>
          </w:p>
        </w:tc>
        <w:tc>
          <w:tcPr>
            <w:tcW w:w="1558" w:type="dxa"/>
            <w:noWrap/>
          </w:tcPr>
          <w:p w14:paraId="3CBC03B7" w14:textId="366F5CA0"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345</w:t>
            </w:r>
          </w:p>
        </w:tc>
        <w:tc>
          <w:tcPr>
            <w:tcW w:w="1393" w:type="dxa"/>
            <w:noWrap/>
          </w:tcPr>
          <w:p w14:paraId="13E756CE" w14:textId="4885F8BA"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730</w:t>
            </w:r>
          </w:p>
        </w:tc>
        <w:tc>
          <w:tcPr>
            <w:tcW w:w="1851" w:type="dxa"/>
            <w:noWrap/>
          </w:tcPr>
          <w:p w14:paraId="2CF9CFB7" w14:textId="56A3E1E4"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w:t>
            </w:r>
          </w:p>
        </w:tc>
        <w:tc>
          <w:tcPr>
            <w:tcW w:w="959" w:type="dxa"/>
            <w:noWrap/>
          </w:tcPr>
          <w:p w14:paraId="06A25FC6" w14:textId="5E1A474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150</w:t>
            </w:r>
          </w:p>
        </w:tc>
        <w:tc>
          <w:tcPr>
            <w:tcW w:w="1311" w:type="dxa"/>
            <w:noWrap/>
          </w:tcPr>
          <w:p w14:paraId="1E40DC90" w14:textId="170D6EA2" w:rsidR="001705DA" w:rsidRPr="000F0CBE" w:rsidRDefault="001705DA" w:rsidP="001705DA">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72</w:t>
            </w:r>
          </w:p>
        </w:tc>
      </w:tr>
    </w:tbl>
    <w:p w14:paraId="5810D50F" w14:textId="77777777" w:rsidR="00B36DC9" w:rsidRDefault="00B36DC9" w:rsidP="000F0CBE">
      <w:pPr>
        <w:spacing w:line="240" w:lineRule="auto"/>
        <w:rPr>
          <w:rFonts w:ascii="Times New Roman" w:hAnsi="Times New Roman" w:cs="Times New Roman"/>
          <w:sz w:val="20"/>
          <w:szCs w:val="20"/>
          <w:lang w:val="en-GB"/>
        </w:rPr>
      </w:pPr>
    </w:p>
    <w:p w14:paraId="18CA77D1" w14:textId="77777777" w:rsidR="007F573C" w:rsidRPr="000F0CBE" w:rsidRDefault="00F05670"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A2 is a Hotspot analysis, presenting absolute environmental impacts associated with Danish healthcare consumption in 2019, disaggregated by upstream sector. Results are reported across five impact categories, distributed upon 7 sectors, including an eighth aggregated sector named ‘other’: </w:t>
      </w:r>
    </w:p>
    <w:tbl>
      <w:tblPr>
        <w:tblStyle w:val="PlainTable1"/>
        <w:tblW w:w="0" w:type="auto"/>
        <w:tblLook w:val="04A0" w:firstRow="1" w:lastRow="0" w:firstColumn="1" w:lastColumn="0" w:noHBand="0" w:noVBand="1"/>
      </w:tblPr>
      <w:tblGrid>
        <w:gridCol w:w="2272"/>
        <w:gridCol w:w="1621"/>
        <w:gridCol w:w="1449"/>
        <w:gridCol w:w="1929"/>
        <w:gridCol w:w="994"/>
        <w:gridCol w:w="1363"/>
      </w:tblGrid>
      <w:tr w:rsidR="00090CEA" w:rsidRPr="000F0CBE" w14:paraId="3043C104" w14:textId="77777777" w:rsidTr="00ED06F2">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2A635ED3" w14:textId="77777777" w:rsidR="00090CEA" w:rsidRPr="000F0CBE" w:rsidRDefault="00090CEA" w:rsidP="000F0CBE">
            <w:pPr>
              <w:rPr>
                <w:rFonts w:ascii="Times New Roman" w:hAnsi="Times New Roman" w:cs="Times New Roman"/>
                <w:sz w:val="20"/>
                <w:szCs w:val="20"/>
                <w:lang w:val="en-GB"/>
              </w:rPr>
            </w:pPr>
            <w:r>
              <w:rPr>
                <w:rFonts w:ascii="Times New Roman" w:hAnsi="Times New Roman" w:cs="Times New Roman"/>
                <w:sz w:val="20"/>
                <w:szCs w:val="20"/>
                <w:lang w:val="en-GB"/>
              </w:rPr>
              <w:t>Hotspot</w:t>
            </w:r>
          </w:p>
        </w:tc>
        <w:tc>
          <w:tcPr>
            <w:tcW w:w="1621" w:type="dxa"/>
            <w:noWrap/>
            <w:hideMark/>
          </w:tcPr>
          <w:p w14:paraId="41398C95"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449" w:type="dxa"/>
            <w:noWrap/>
            <w:hideMark/>
          </w:tcPr>
          <w:p w14:paraId="57D3185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1929" w:type="dxa"/>
            <w:noWrap/>
            <w:hideMark/>
          </w:tcPr>
          <w:p w14:paraId="585A27EF"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994" w:type="dxa"/>
            <w:noWrap/>
            <w:hideMark/>
          </w:tcPr>
          <w:p w14:paraId="15BAE39A"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363" w:type="dxa"/>
            <w:noWrap/>
            <w:hideMark/>
          </w:tcPr>
          <w:p w14:paraId="3DBA5460" w14:textId="77777777" w:rsidR="00090CEA" w:rsidRPr="000F0CBE" w:rsidRDefault="00090CEA"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090CEA" w:rsidRPr="000F0CBE" w14:paraId="0EBBE8DB"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32507DA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Agricultural sector</w:t>
            </w:r>
          </w:p>
        </w:tc>
        <w:tc>
          <w:tcPr>
            <w:tcW w:w="1621" w:type="dxa"/>
            <w:noWrap/>
            <w:hideMark/>
          </w:tcPr>
          <w:p w14:paraId="54F09F1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350·2</w:t>
            </w:r>
          </w:p>
        </w:tc>
        <w:tc>
          <w:tcPr>
            <w:tcW w:w="1449" w:type="dxa"/>
            <w:noWrap/>
            <w:hideMark/>
          </w:tcPr>
          <w:p w14:paraId="2E1537F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27·1</w:t>
            </w:r>
          </w:p>
        </w:tc>
        <w:tc>
          <w:tcPr>
            <w:tcW w:w="1929" w:type="dxa"/>
            <w:noWrap/>
            <w:hideMark/>
          </w:tcPr>
          <w:p w14:paraId="7F11A293"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39·4</w:t>
            </w:r>
          </w:p>
        </w:tc>
        <w:tc>
          <w:tcPr>
            <w:tcW w:w="994" w:type="dxa"/>
            <w:noWrap/>
            <w:hideMark/>
          </w:tcPr>
          <w:p w14:paraId="6296CE0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2717·5</w:t>
            </w:r>
          </w:p>
        </w:tc>
        <w:tc>
          <w:tcPr>
            <w:tcW w:w="1363" w:type="dxa"/>
            <w:noWrap/>
            <w:hideMark/>
          </w:tcPr>
          <w:p w14:paraId="4E6B8AE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226·6</w:t>
            </w:r>
          </w:p>
        </w:tc>
      </w:tr>
      <w:tr w:rsidR="00090CEA" w:rsidRPr="000F0CBE" w14:paraId="7249D8DF"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9E0CA7C"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Electricity sector</w:t>
            </w:r>
          </w:p>
        </w:tc>
        <w:tc>
          <w:tcPr>
            <w:tcW w:w="1621" w:type="dxa"/>
            <w:noWrap/>
            <w:hideMark/>
          </w:tcPr>
          <w:p w14:paraId="1FC4E857"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265·2</w:t>
            </w:r>
          </w:p>
        </w:tc>
        <w:tc>
          <w:tcPr>
            <w:tcW w:w="1449" w:type="dxa"/>
            <w:noWrap/>
            <w:hideMark/>
          </w:tcPr>
          <w:p w14:paraId="60121DA8"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5·0</w:t>
            </w:r>
          </w:p>
        </w:tc>
        <w:tc>
          <w:tcPr>
            <w:tcW w:w="1929" w:type="dxa"/>
            <w:noWrap/>
            <w:hideMark/>
          </w:tcPr>
          <w:p w14:paraId="32089DE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3·2</w:t>
            </w:r>
          </w:p>
        </w:tc>
        <w:tc>
          <w:tcPr>
            <w:tcW w:w="994" w:type="dxa"/>
            <w:noWrap/>
            <w:hideMark/>
          </w:tcPr>
          <w:p w14:paraId="0F9DB78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1·1</w:t>
            </w:r>
          </w:p>
        </w:tc>
        <w:tc>
          <w:tcPr>
            <w:tcW w:w="1363" w:type="dxa"/>
            <w:noWrap/>
            <w:hideMark/>
          </w:tcPr>
          <w:p w14:paraId="30957F8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16·6</w:t>
            </w:r>
          </w:p>
        </w:tc>
      </w:tr>
      <w:tr w:rsidR="00090CEA" w:rsidRPr="000F0CBE" w14:paraId="0B6D8457"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1611CEC3"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Fossil fuel industry</w:t>
            </w:r>
          </w:p>
        </w:tc>
        <w:tc>
          <w:tcPr>
            <w:tcW w:w="1621" w:type="dxa"/>
            <w:noWrap/>
            <w:hideMark/>
          </w:tcPr>
          <w:p w14:paraId="4435CA1C"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362·7</w:t>
            </w:r>
          </w:p>
        </w:tc>
        <w:tc>
          <w:tcPr>
            <w:tcW w:w="1449" w:type="dxa"/>
            <w:noWrap/>
            <w:hideMark/>
          </w:tcPr>
          <w:p w14:paraId="5E9761A5"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7·8</w:t>
            </w:r>
          </w:p>
        </w:tc>
        <w:tc>
          <w:tcPr>
            <w:tcW w:w="1929" w:type="dxa"/>
            <w:noWrap/>
            <w:hideMark/>
          </w:tcPr>
          <w:p w14:paraId="7089F019"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0·0</w:t>
            </w:r>
          </w:p>
        </w:tc>
        <w:tc>
          <w:tcPr>
            <w:tcW w:w="994" w:type="dxa"/>
            <w:noWrap/>
            <w:hideMark/>
          </w:tcPr>
          <w:p w14:paraId="76CCE44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0·9</w:t>
            </w:r>
          </w:p>
        </w:tc>
        <w:tc>
          <w:tcPr>
            <w:tcW w:w="1363" w:type="dxa"/>
            <w:noWrap/>
            <w:hideMark/>
          </w:tcPr>
          <w:p w14:paraId="2D5E0834"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9·6</w:t>
            </w:r>
          </w:p>
        </w:tc>
      </w:tr>
      <w:tr w:rsidR="00090CEA" w:rsidRPr="000F0CBE" w14:paraId="00453041"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037AC21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Mining of minerals and metals</w:t>
            </w:r>
          </w:p>
        </w:tc>
        <w:tc>
          <w:tcPr>
            <w:tcW w:w="1621" w:type="dxa"/>
            <w:noWrap/>
            <w:hideMark/>
          </w:tcPr>
          <w:p w14:paraId="1774C6F2"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59·5</w:t>
            </w:r>
          </w:p>
        </w:tc>
        <w:tc>
          <w:tcPr>
            <w:tcW w:w="1449" w:type="dxa"/>
            <w:noWrap/>
            <w:hideMark/>
          </w:tcPr>
          <w:p w14:paraId="7600FC8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2353·8</w:t>
            </w:r>
          </w:p>
        </w:tc>
        <w:tc>
          <w:tcPr>
            <w:tcW w:w="1929" w:type="dxa"/>
            <w:noWrap/>
            <w:hideMark/>
          </w:tcPr>
          <w:p w14:paraId="1EE5370A"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0·0</w:t>
            </w:r>
          </w:p>
        </w:tc>
        <w:tc>
          <w:tcPr>
            <w:tcW w:w="994" w:type="dxa"/>
            <w:noWrap/>
            <w:hideMark/>
          </w:tcPr>
          <w:p w14:paraId="5A7D4CAE"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0·3</w:t>
            </w:r>
          </w:p>
        </w:tc>
        <w:tc>
          <w:tcPr>
            <w:tcW w:w="1363" w:type="dxa"/>
            <w:noWrap/>
            <w:hideMark/>
          </w:tcPr>
          <w:p w14:paraId="13F38515"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215·2</w:t>
            </w:r>
          </w:p>
        </w:tc>
      </w:tr>
      <w:tr w:rsidR="00090CEA" w:rsidRPr="000F0CBE" w14:paraId="2262B889"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7958D4DF"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Operational impacts</w:t>
            </w:r>
          </w:p>
        </w:tc>
        <w:tc>
          <w:tcPr>
            <w:tcW w:w="1621" w:type="dxa"/>
            <w:noWrap/>
            <w:hideMark/>
          </w:tcPr>
          <w:p w14:paraId="5FEB761B"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10·9</w:t>
            </w:r>
          </w:p>
        </w:tc>
        <w:tc>
          <w:tcPr>
            <w:tcW w:w="1449" w:type="dxa"/>
            <w:noWrap/>
            <w:hideMark/>
          </w:tcPr>
          <w:p w14:paraId="671EE53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0·0</w:t>
            </w:r>
          </w:p>
        </w:tc>
        <w:tc>
          <w:tcPr>
            <w:tcW w:w="1929" w:type="dxa"/>
            <w:noWrap/>
            <w:hideMark/>
          </w:tcPr>
          <w:p w14:paraId="274C4F0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0·0</w:t>
            </w:r>
          </w:p>
        </w:tc>
        <w:tc>
          <w:tcPr>
            <w:tcW w:w="994" w:type="dxa"/>
            <w:noWrap/>
            <w:hideMark/>
          </w:tcPr>
          <w:p w14:paraId="3581073A"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0·0</w:t>
            </w:r>
          </w:p>
        </w:tc>
        <w:tc>
          <w:tcPr>
            <w:tcW w:w="1363" w:type="dxa"/>
            <w:noWrap/>
            <w:hideMark/>
          </w:tcPr>
          <w:p w14:paraId="31FF18AF"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175·9</w:t>
            </w:r>
          </w:p>
        </w:tc>
      </w:tr>
      <w:tr w:rsidR="00090CEA" w:rsidRPr="000F0CBE" w14:paraId="06CC5209"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58C2C0D1"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Pharmaceutical and chemical industry</w:t>
            </w:r>
          </w:p>
        </w:tc>
        <w:tc>
          <w:tcPr>
            <w:tcW w:w="1621" w:type="dxa"/>
            <w:noWrap/>
            <w:hideMark/>
          </w:tcPr>
          <w:p w14:paraId="426BF01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260·8</w:t>
            </w:r>
          </w:p>
        </w:tc>
        <w:tc>
          <w:tcPr>
            <w:tcW w:w="1449" w:type="dxa"/>
            <w:noWrap/>
            <w:hideMark/>
          </w:tcPr>
          <w:p w14:paraId="41E74860"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32·1</w:t>
            </w:r>
          </w:p>
        </w:tc>
        <w:tc>
          <w:tcPr>
            <w:tcW w:w="1929" w:type="dxa"/>
            <w:noWrap/>
            <w:hideMark/>
          </w:tcPr>
          <w:p w14:paraId="60D05B6C"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1·7</w:t>
            </w:r>
          </w:p>
        </w:tc>
        <w:tc>
          <w:tcPr>
            <w:tcW w:w="994" w:type="dxa"/>
            <w:noWrap/>
            <w:hideMark/>
          </w:tcPr>
          <w:p w14:paraId="34502231"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0·4</w:t>
            </w:r>
          </w:p>
        </w:tc>
        <w:tc>
          <w:tcPr>
            <w:tcW w:w="1363" w:type="dxa"/>
            <w:noWrap/>
            <w:hideMark/>
          </w:tcPr>
          <w:p w14:paraId="013C711F" w14:textId="77777777" w:rsidR="00090CEA" w:rsidRPr="000F0CBE" w:rsidRDefault="00090CEA"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111·6</w:t>
            </w:r>
          </w:p>
        </w:tc>
      </w:tr>
      <w:tr w:rsidR="00090CEA" w:rsidRPr="000F0CBE" w14:paraId="56C64E7A" w14:textId="77777777" w:rsidTr="00ED06F2">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272" w:type="dxa"/>
            <w:noWrap/>
            <w:hideMark/>
          </w:tcPr>
          <w:p w14:paraId="6773D758" w14:textId="77777777" w:rsidR="00090CEA" w:rsidRPr="000F0CBE" w:rsidRDefault="00090CEA" w:rsidP="000F0CBE">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Transport</w:t>
            </w:r>
          </w:p>
        </w:tc>
        <w:tc>
          <w:tcPr>
            <w:tcW w:w="1621" w:type="dxa"/>
            <w:noWrap/>
            <w:hideMark/>
          </w:tcPr>
          <w:p w14:paraId="62193986"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2193·5</w:t>
            </w:r>
          </w:p>
        </w:tc>
        <w:tc>
          <w:tcPr>
            <w:tcW w:w="1449" w:type="dxa"/>
            <w:noWrap/>
            <w:hideMark/>
          </w:tcPr>
          <w:p w14:paraId="7CC0B712"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15·6</w:t>
            </w:r>
          </w:p>
        </w:tc>
        <w:tc>
          <w:tcPr>
            <w:tcW w:w="1929" w:type="dxa"/>
            <w:noWrap/>
            <w:hideMark/>
          </w:tcPr>
          <w:p w14:paraId="083C353D"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0·0</w:t>
            </w:r>
          </w:p>
        </w:tc>
        <w:tc>
          <w:tcPr>
            <w:tcW w:w="994" w:type="dxa"/>
            <w:noWrap/>
            <w:hideMark/>
          </w:tcPr>
          <w:p w14:paraId="08D316D7"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3·0</w:t>
            </w:r>
          </w:p>
        </w:tc>
        <w:tc>
          <w:tcPr>
            <w:tcW w:w="1363" w:type="dxa"/>
            <w:noWrap/>
            <w:hideMark/>
          </w:tcPr>
          <w:p w14:paraId="251FF9FE" w14:textId="77777777" w:rsidR="00090CEA" w:rsidRPr="000F0CBE" w:rsidRDefault="00090CEA"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5·5</w:t>
            </w:r>
          </w:p>
        </w:tc>
      </w:tr>
      <w:tr w:rsidR="00ED06F2" w:rsidRPr="000F0CBE" w14:paraId="740B556E" w14:textId="77777777" w:rsidTr="00ED06F2">
        <w:trPr>
          <w:trHeight w:val="288"/>
        </w:trPr>
        <w:tc>
          <w:tcPr>
            <w:cnfStyle w:val="001000000000" w:firstRow="0" w:lastRow="0" w:firstColumn="1" w:lastColumn="0" w:oddVBand="0" w:evenVBand="0" w:oddHBand="0" w:evenHBand="0" w:firstRowFirstColumn="0" w:firstRowLastColumn="0" w:lastRowFirstColumn="0" w:lastRowLastColumn="0"/>
            <w:tcW w:w="2272" w:type="dxa"/>
            <w:noWrap/>
          </w:tcPr>
          <w:p w14:paraId="5E359215" w14:textId="6BE3C82B" w:rsidR="00ED06F2" w:rsidRPr="00ED06F2" w:rsidRDefault="00ED06F2" w:rsidP="00ED06F2">
            <w:pPr>
              <w:rPr>
                <w:rFonts w:ascii="Times New Roman" w:hAnsi="Times New Roman" w:cs="Times New Roman"/>
                <w:b w:val="0"/>
                <w:bCs w:val="0"/>
                <w:sz w:val="20"/>
                <w:szCs w:val="20"/>
                <w:lang w:val="en-GB"/>
              </w:rPr>
            </w:pPr>
            <w:r w:rsidRPr="00ED06F2">
              <w:rPr>
                <w:rFonts w:ascii="Times New Roman" w:hAnsi="Times New Roman" w:cs="Times New Roman"/>
                <w:b w:val="0"/>
                <w:bCs w:val="0"/>
                <w:sz w:val="20"/>
                <w:szCs w:val="20"/>
                <w:lang w:val="en-GB"/>
              </w:rPr>
              <w:t>Unallocated</w:t>
            </w:r>
          </w:p>
        </w:tc>
        <w:tc>
          <w:tcPr>
            <w:tcW w:w="1621" w:type="dxa"/>
            <w:noWrap/>
          </w:tcPr>
          <w:p w14:paraId="48321ED3" w14:textId="62F171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1311·8</w:t>
            </w:r>
          </w:p>
        </w:tc>
        <w:tc>
          <w:tcPr>
            <w:tcW w:w="1449" w:type="dxa"/>
            <w:noWrap/>
          </w:tcPr>
          <w:p w14:paraId="45D54D68" w14:textId="639D548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159·1</w:t>
            </w:r>
          </w:p>
        </w:tc>
        <w:tc>
          <w:tcPr>
            <w:tcW w:w="1929" w:type="dxa"/>
            <w:noWrap/>
          </w:tcPr>
          <w:p w14:paraId="230776EF" w14:textId="25C0D55A"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2·2</w:t>
            </w:r>
          </w:p>
        </w:tc>
        <w:tc>
          <w:tcPr>
            <w:tcW w:w="994" w:type="dxa"/>
            <w:noWrap/>
          </w:tcPr>
          <w:p w14:paraId="706A74BB" w14:textId="71C59F68"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30·0</w:t>
            </w:r>
          </w:p>
        </w:tc>
        <w:tc>
          <w:tcPr>
            <w:tcW w:w="1363" w:type="dxa"/>
            <w:noWrap/>
          </w:tcPr>
          <w:p w14:paraId="3F0D15D5" w14:textId="45813E16" w:rsidR="00ED06F2" w:rsidRDefault="00ED06F2" w:rsidP="00ED06F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79·3</w:t>
            </w:r>
          </w:p>
        </w:tc>
      </w:tr>
    </w:tbl>
    <w:p w14:paraId="10BD89EC" w14:textId="77777777" w:rsidR="00090CEA" w:rsidRPr="000F0CBE" w:rsidRDefault="00090CEA" w:rsidP="000F0CBE">
      <w:pPr>
        <w:spacing w:line="240" w:lineRule="auto"/>
        <w:rPr>
          <w:rFonts w:ascii="Times New Roman" w:hAnsi="Times New Roman" w:cs="Times New Roman"/>
          <w:b/>
          <w:bCs/>
          <w:sz w:val="20"/>
          <w:szCs w:val="20"/>
          <w:lang w:val="en-GB"/>
        </w:rPr>
      </w:pPr>
    </w:p>
    <w:p w14:paraId="5260CFEA" w14:textId="77777777" w:rsidR="0047494A" w:rsidRPr="000F0CBE" w:rsidRDefault="0047494A"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A3 provides absolute environmental impacts associated with Danish healthcare consumption in 2019, disaggregated by geographical region where impacts occur. Results are reported across five impact categories, distributed across eight regions. The Netherlands were retained as a separate region to ensure consistency with the underlying data structure and to avoid overlap or double counting during regional aggregation: </w:t>
      </w:r>
    </w:p>
    <w:tbl>
      <w:tblPr>
        <w:tblStyle w:val="PlainTable1"/>
        <w:tblW w:w="0" w:type="auto"/>
        <w:tblLook w:val="04A0" w:firstRow="1" w:lastRow="0" w:firstColumn="1" w:lastColumn="0" w:noHBand="0" w:noVBand="1"/>
      </w:tblPr>
      <w:tblGrid>
        <w:gridCol w:w="1183"/>
        <w:gridCol w:w="1865"/>
        <w:gridCol w:w="1663"/>
        <w:gridCol w:w="2226"/>
        <w:gridCol w:w="1129"/>
        <w:gridCol w:w="1562"/>
      </w:tblGrid>
      <w:tr w:rsidR="00282398" w:rsidRPr="000F0CBE" w14:paraId="1DD7AC4C" w14:textId="77777777" w:rsidTr="00AB48C6">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67153226" w14:textId="77777777" w:rsidR="00282398" w:rsidRPr="000F0CBE" w:rsidRDefault="00282398" w:rsidP="000F0CBE">
            <w:pPr>
              <w:rPr>
                <w:rFonts w:ascii="Times New Roman" w:hAnsi="Times New Roman" w:cs="Times New Roman"/>
                <w:sz w:val="20"/>
                <w:szCs w:val="20"/>
                <w:lang w:val="en-GB"/>
              </w:rPr>
            </w:pPr>
            <w:r>
              <w:rPr>
                <w:rFonts w:ascii="Times New Roman" w:hAnsi="Times New Roman" w:cs="Times New Roman"/>
                <w:sz w:val="20"/>
                <w:szCs w:val="20"/>
                <w:lang w:val="en-GB"/>
              </w:rPr>
              <w:t>Region</w:t>
            </w:r>
          </w:p>
        </w:tc>
        <w:tc>
          <w:tcPr>
            <w:tcW w:w="1865" w:type="dxa"/>
            <w:noWrap/>
            <w:hideMark/>
          </w:tcPr>
          <w:p w14:paraId="3331DC75"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Global warming (ktCO2eq)</w:t>
            </w:r>
          </w:p>
        </w:tc>
        <w:tc>
          <w:tcPr>
            <w:tcW w:w="1663" w:type="dxa"/>
            <w:noWrap/>
            <w:hideMark/>
          </w:tcPr>
          <w:p w14:paraId="1AE349A0"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Material extraction (kt)</w:t>
            </w:r>
          </w:p>
        </w:tc>
        <w:tc>
          <w:tcPr>
            <w:tcW w:w="2226" w:type="dxa"/>
            <w:noWrap/>
            <w:hideMark/>
          </w:tcPr>
          <w:p w14:paraId="1C8C3FCA"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Blue water consumption (Mm3)</w:t>
            </w:r>
          </w:p>
        </w:tc>
        <w:tc>
          <w:tcPr>
            <w:tcW w:w="1129" w:type="dxa"/>
            <w:noWrap/>
            <w:hideMark/>
          </w:tcPr>
          <w:p w14:paraId="4B77F8D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Land use (km2)</w:t>
            </w:r>
          </w:p>
        </w:tc>
        <w:tc>
          <w:tcPr>
            <w:tcW w:w="1562" w:type="dxa"/>
            <w:noWrap/>
            <w:hideMark/>
          </w:tcPr>
          <w:p w14:paraId="5492C68B" w14:textId="77777777" w:rsidR="00282398" w:rsidRPr="000F0CBE" w:rsidRDefault="00282398"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Waste generation (kt)</w:t>
            </w:r>
          </w:p>
        </w:tc>
      </w:tr>
      <w:tr w:rsidR="002B21D5" w:rsidRPr="000F0CBE" w14:paraId="5C2A67D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68B5561E" w14:textId="0E6E367F" w:rsidR="002B21D5" w:rsidRDefault="002B21D5" w:rsidP="002B21D5">
            <w:pPr>
              <w:rPr>
                <w:rFonts w:ascii="Times New Roman" w:hAnsi="Times New Roman" w:cs="Times New Roman"/>
                <w:sz w:val="20"/>
                <w:szCs w:val="20"/>
                <w:lang w:val="en-GB"/>
              </w:rPr>
            </w:pPr>
            <w:r>
              <w:rPr>
                <w:rFonts w:ascii="Times New Roman" w:hAnsi="Times New Roman" w:cs="Times New Roman"/>
                <w:b w:val="0"/>
                <w:bCs w:val="0"/>
                <w:sz w:val="20"/>
                <w:szCs w:val="20"/>
                <w:lang w:val="en-GB"/>
              </w:rPr>
              <w:t>Denmark</w:t>
            </w:r>
          </w:p>
        </w:tc>
        <w:tc>
          <w:tcPr>
            <w:tcW w:w="1865" w:type="dxa"/>
            <w:noWrap/>
          </w:tcPr>
          <w:p w14:paraId="0FB59FA8" w14:textId="352D5E69"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2174</w:t>
            </w:r>
          </w:p>
        </w:tc>
        <w:tc>
          <w:tcPr>
            <w:tcW w:w="1663" w:type="dxa"/>
            <w:noWrap/>
          </w:tcPr>
          <w:p w14:paraId="45BAB2F1" w14:textId="288BA56F"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1540</w:t>
            </w:r>
          </w:p>
        </w:tc>
        <w:tc>
          <w:tcPr>
            <w:tcW w:w="2226" w:type="dxa"/>
            <w:noWrap/>
          </w:tcPr>
          <w:p w14:paraId="266FA942" w14:textId="10564B26"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4</w:t>
            </w:r>
          </w:p>
        </w:tc>
        <w:tc>
          <w:tcPr>
            <w:tcW w:w="1129" w:type="dxa"/>
            <w:noWrap/>
          </w:tcPr>
          <w:p w14:paraId="24BD1D6C" w14:textId="598DB0A4"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242</w:t>
            </w:r>
          </w:p>
        </w:tc>
        <w:tc>
          <w:tcPr>
            <w:tcW w:w="1562" w:type="dxa"/>
            <w:noWrap/>
          </w:tcPr>
          <w:p w14:paraId="061E86EA" w14:textId="2BBE7A7E" w:rsidR="002B21D5"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387</w:t>
            </w:r>
          </w:p>
        </w:tc>
      </w:tr>
      <w:tr w:rsidR="002B21D5" w:rsidRPr="000F0CBE" w14:paraId="24B7ED9A"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75F9A55D"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Africa</w:t>
            </w:r>
          </w:p>
        </w:tc>
        <w:tc>
          <w:tcPr>
            <w:tcW w:w="1865" w:type="dxa"/>
            <w:noWrap/>
            <w:hideMark/>
          </w:tcPr>
          <w:p w14:paraId="0549E51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96</w:t>
            </w:r>
          </w:p>
        </w:tc>
        <w:tc>
          <w:tcPr>
            <w:tcW w:w="1663" w:type="dxa"/>
            <w:noWrap/>
            <w:hideMark/>
          </w:tcPr>
          <w:p w14:paraId="7EE7349E"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40</w:t>
            </w:r>
          </w:p>
        </w:tc>
        <w:tc>
          <w:tcPr>
            <w:tcW w:w="2226" w:type="dxa"/>
            <w:noWrap/>
            <w:hideMark/>
          </w:tcPr>
          <w:p w14:paraId="06DA7C4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w:t>
            </w:r>
          </w:p>
        </w:tc>
        <w:tc>
          <w:tcPr>
            <w:tcW w:w="1129" w:type="dxa"/>
            <w:noWrap/>
            <w:hideMark/>
          </w:tcPr>
          <w:p w14:paraId="06DD57A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443</w:t>
            </w:r>
          </w:p>
        </w:tc>
        <w:tc>
          <w:tcPr>
            <w:tcW w:w="1562" w:type="dxa"/>
            <w:noWrap/>
            <w:hideMark/>
          </w:tcPr>
          <w:p w14:paraId="74776DB0"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37</w:t>
            </w:r>
          </w:p>
        </w:tc>
      </w:tr>
      <w:tr w:rsidR="002B21D5" w:rsidRPr="000F0CBE" w14:paraId="4C90735B"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3F22FFBE"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America</w:t>
            </w:r>
          </w:p>
        </w:tc>
        <w:tc>
          <w:tcPr>
            <w:tcW w:w="1865" w:type="dxa"/>
            <w:noWrap/>
            <w:hideMark/>
          </w:tcPr>
          <w:p w14:paraId="3CB9EAD9"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164</w:t>
            </w:r>
          </w:p>
        </w:tc>
        <w:tc>
          <w:tcPr>
            <w:tcW w:w="1663" w:type="dxa"/>
            <w:noWrap/>
            <w:hideMark/>
          </w:tcPr>
          <w:p w14:paraId="437363F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95</w:t>
            </w:r>
          </w:p>
        </w:tc>
        <w:tc>
          <w:tcPr>
            <w:tcW w:w="2226" w:type="dxa"/>
            <w:noWrap/>
            <w:hideMark/>
          </w:tcPr>
          <w:p w14:paraId="3CCEF277"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w:t>
            </w:r>
          </w:p>
        </w:tc>
        <w:tc>
          <w:tcPr>
            <w:tcW w:w="1129" w:type="dxa"/>
            <w:noWrap/>
            <w:hideMark/>
          </w:tcPr>
          <w:p w14:paraId="6A38A31C"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379</w:t>
            </w:r>
          </w:p>
        </w:tc>
        <w:tc>
          <w:tcPr>
            <w:tcW w:w="1562" w:type="dxa"/>
            <w:noWrap/>
            <w:hideMark/>
          </w:tcPr>
          <w:p w14:paraId="19D647E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94</w:t>
            </w:r>
          </w:p>
        </w:tc>
      </w:tr>
      <w:tr w:rsidR="002B21D5" w:rsidRPr="000F0CBE" w14:paraId="4EF6CA2B"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5CA6441F"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Asia and Pacific</w:t>
            </w:r>
          </w:p>
        </w:tc>
        <w:tc>
          <w:tcPr>
            <w:tcW w:w="1865" w:type="dxa"/>
            <w:noWrap/>
            <w:hideMark/>
          </w:tcPr>
          <w:p w14:paraId="71903FD6"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874</w:t>
            </w:r>
          </w:p>
        </w:tc>
        <w:tc>
          <w:tcPr>
            <w:tcW w:w="1663" w:type="dxa"/>
            <w:noWrap/>
            <w:hideMark/>
          </w:tcPr>
          <w:p w14:paraId="45EDE822"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313</w:t>
            </w:r>
          </w:p>
        </w:tc>
        <w:tc>
          <w:tcPr>
            <w:tcW w:w="2226" w:type="dxa"/>
            <w:noWrap/>
            <w:hideMark/>
          </w:tcPr>
          <w:p w14:paraId="52EF2FB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22</w:t>
            </w:r>
          </w:p>
        </w:tc>
        <w:tc>
          <w:tcPr>
            <w:tcW w:w="1129" w:type="dxa"/>
            <w:noWrap/>
            <w:hideMark/>
          </w:tcPr>
          <w:p w14:paraId="3D05CD94"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808</w:t>
            </w:r>
          </w:p>
        </w:tc>
        <w:tc>
          <w:tcPr>
            <w:tcW w:w="1562" w:type="dxa"/>
            <w:noWrap/>
            <w:hideMark/>
          </w:tcPr>
          <w:p w14:paraId="22AC81A8"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155</w:t>
            </w:r>
          </w:p>
        </w:tc>
      </w:tr>
      <w:tr w:rsidR="002B21D5" w:rsidRPr="000F0CBE" w14:paraId="6742AD0F"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D6FDCD5"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Europe</w:t>
            </w:r>
          </w:p>
        </w:tc>
        <w:tc>
          <w:tcPr>
            <w:tcW w:w="1865" w:type="dxa"/>
            <w:noWrap/>
            <w:hideMark/>
          </w:tcPr>
          <w:p w14:paraId="177789CF" w14:textId="23444BBF" w:rsidR="002B21D5" w:rsidRPr="000F0CBE" w:rsidRDefault="00FD1C61"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1028</w:t>
            </w:r>
          </w:p>
        </w:tc>
        <w:tc>
          <w:tcPr>
            <w:tcW w:w="1663" w:type="dxa"/>
            <w:noWrap/>
            <w:hideMark/>
          </w:tcPr>
          <w:p w14:paraId="5FEE870A" w14:textId="60B4C160"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444</w:t>
            </w:r>
          </w:p>
        </w:tc>
        <w:tc>
          <w:tcPr>
            <w:tcW w:w="2226" w:type="dxa"/>
            <w:noWrap/>
            <w:hideMark/>
          </w:tcPr>
          <w:p w14:paraId="5CBF775A" w14:textId="600F9F9F"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5</w:t>
            </w:r>
          </w:p>
        </w:tc>
        <w:tc>
          <w:tcPr>
            <w:tcW w:w="1129" w:type="dxa"/>
            <w:noWrap/>
            <w:hideMark/>
          </w:tcPr>
          <w:p w14:paraId="3852A70A" w14:textId="7953DE4B"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765</w:t>
            </w:r>
          </w:p>
        </w:tc>
        <w:tc>
          <w:tcPr>
            <w:tcW w:w="1562" w:type="dxa"/>
            <w:noWrap/>
            <w:hideMark/>
          </w:tcPr>
          <w:p w14:paraId="55DF0153" w14:textId="595AFEF5" w:rsidR="002B21D5" w:rsidRPr="000F0CBE" w:rsidRDefault="00BC446F"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143</w:t>
            </w:r>
          </w:p>
        </w:tc>
      </w:tr>
      <w:tr w:rsidR="002B21D5" w:rsidRPr="000F0CBE" w14:paraId="50E5F903"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03F60579"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Global</w:t>
            </w:r>
          </w:p>
        </w:tc>
        <w:tc>
          <w:tcPr>
            <w:tcW w:w="1865" w:type="dxa"/>
            <w:noWrap/>
            <w:hideMark/>
          </w:tcPr>
          <w:p w14:paraId="103CB17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220</w:t>
            </w:r>
          </w:p>
        </w:tc>
        <w:tc>
          <w:tcPr>
            <w:tcW w:w="1663" w:type="dxa"/>
            <w:noWrap/>
            <w:hideMark/>
          </w:tcPr>
          <w:p w14:paraId="03704EFD"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25</w:t>
            </w:r>
          </w:p>
        </w:tc>
        <w:tc>
          <w:tcPr>
            <w:tcW w:w="2226" w:type="dxa"/>
            <w:noWrap/>
            <w:hideMark/>
          </w:tcPr>
          <w:p w14:paraId="0692FAF5"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w:t>
            </w:r>
          </w:p>
        </w:tc>
        <w:tc>
          <w:tcPr>
            <w:tcW w:w="1129" w:type="dxa"/>
            <w:noWrap/>
            <w:hideMark/>
          </w:tcPr>
          <w:p w14:paraId="4FB24193"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w:t>
            </w:r>
          </w:p>
        </w:tc>
        <w:tc>
          <w:tcPr>
            <w:tcW w:w="1562" w:type="dxa"/>
            <w:noWrap/>
            <w:hideMark/>
          </w:tcPr>
          <w:p w14:paraId="048A8391" w14:textId="77777777" w:rsidR="002B21D5" w:rsidRPr="000F0CBE" w:rsidRDefault="002B21D5" w:rsidP="002B21D5">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w:t>
            </w:r>
          </w:p>
        </w:tc>
      </w:tr>
      <w:tr w:rsidR="002B21D5" w:rsidRPr="000F0CBE" w14:paraId="5192D578" w14:textId="77777777" w:rsidTr="00AB48C6">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1183" w:type="dxa"/>
            <w:noWrap/>
            <w:hideMark/>
          </w:tcPr>
          <w:p w14:paraId="218ECFCB" w14:textId="77777777" w:rsidR="002B21D5" w:rsidRPr="000F0CBE" w:rsidRDefault="002B21D5" w:rsidP="002B21D5">
            <w:pPr>
              <w:rPr>
                <w:rFonts w:ascii="Times New Roman" w:hAnsi="Times New Roman" w:cs="Times New Roman"/>
                <w:b w:val="0"/>
                <w:bCs w:val="0"/>
                <w:sz w:val="20"/>
                <w:szCs w:val="20"/>
                <w:lang w:val="en-GB"/>
              </w:rPr>
            </w:pPr>
            <w:r>
              <w:rPr>
                <w:rFonts w:ascii="Times New Roman" w:hAnsi="Times New Roman" w:cs="Times New Roman"/>
                <w:b w:val="0"/>
                <w:bCs w:val="0"/>
                <w:sz w:val="20"/>
                <w:szCs w:val="20"/>
                <w:lang w:val="en-GB"/>
              </w:rPr>
              <w:t>Middle East</w:t>
            </w:r>
          </w:p>
        </w:tc>
        <w:tc>
          <w:tcPr>
            <w:tcW w:w="1865" w:type="dxa"/>
            <w:noWrap/>
            <w:hideMark/>
          </w:tcPr>
          <w:p w14:paraId="7EC6613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259</w:t>
            </w:r>
          </w:p>
        </w:tc>
        <w:tc>
          <w:tcPr>
            <w:tcW w:w="1663" w:type="dxa"/>
            <w:noWrap/>
            <w:hideMark/>
          </w:tcPr>
          <w:p w14:paraId="1B8C0C84"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144</w:t>
            </w:r>
          </w:p>
        </w:tc>
        <w:tc>
          <w:tcPr>
            <w:tcW w:w="2226" w:type="dxa"/>
            <w:noWrap/>
            <w:hideMark/>
          </w:tcPr>
          <w:p w14:paraId="66C8EAE8"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11</w:t>
            </w:r>
          </w:p>
        </w:tc>
        <w:tc>
          <w:tcPr>
            <w:tcW w:w="1129" w:type="dxa"/>
            <w:noWrap/>
            <w:hideMark/>
          </w:tcPr>
          <w:p w14:paraId="44E8C702"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113</w:t>
            </w:r>
          </w:p>
        </w:tc>
        <w:tc>
          <w:tcPr>
            <w:tcW w:w="1562" w:type="dxa"/>
            <w:noWrap/>
            <w:hideMark/>
          </w:tcPr>
          <w:p w14:paraId="312773D1" w14:textId="77777777" w:rsidR="002B21D5" w:rsidRPr="000F0CBE" w:rsidRDefault="002B21D5" w:rsidP="002B21D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25</w:t>
            </w:r>
          </w:p>
        </w:tc>
      </w:tr>
      <w:tr w:rsidR="00AB48C6" w:rsidRPr="000F0CBE" w14:paraId="6FF86C87" w14:textId="77777777" w:rsidTr="00AB48C6">
        <w:trPr>
          <w:trHeight w:val="288"/>
        </w:trPr>
        <w:tc>
          <w:tcPr>
            <w:cnfStyle w:val="001000000000" w:firstRow="0" w:lastRow="0" w:firstColumn="1" w:lastColumn="0" w:oddVBand="0" w:evenVBand="0" w:oddHBand="0" w:evenHBand="0" w:firstRowFirstColumn="0" w:firstRowLastColumn="0" w:lastRowFirstColumn="0" w:lastRowLastColumn="0"/>
            <w:tcW w:w="1183" w:type="dxa"/>
            <w:noWrap/>
          </w:tcPr>
          <w:p w14:paraId="2E349587" w14:textId="3C09E950" w:rsidR="00AB48C6" w:rsidRPr="00AB48C6" w:rsidRDefault="00AB48C6" w:rsidP="00AB48C6">
            <w:pPr>
              <w:rPr>
                <w:rFonts w:ascii="Times New Roman" w:hAnsi="Times New Roman" w:cs="Times New Roman"/>
                <w:b w:val="0"/>
                <w:bCs w:val="0"/>
                <w:sz w:val="20"/>
                <w:szCs w:val="20"/>
                <w:lang w:val="en-GB"/>
              </w:rPr>
            </w:pPr>
            <w:r w:rsidRPr="00AB48C6">
              <w:rPr>
                <w:rFonts w:ascii="Times New Roman" w:hAnsi="Times New Roman" w:cs="Times New Roman"/>
                <w:b w:val="0"/>
                <w:bCs w:val="0"/>
                <w:sz w:val="20"/>
                <w:szCs w:val="20"/>
                <w:lang w:val="en-GB"/>
              </w:rPr>
              <w:t>Unallocated</w:t>
            </w:r>
          </w:p>
        </w:tc>
        <w:tc>
          <w:tcPr>
            <w:tcW w:w="1865" w:type="dxa"/>
            <w:noWrap/>
          </w:tcPr>
          <w:p w14:paraId="3259300A" w14:textId="5B462259"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220</w:t>
            </w:r>
          </w:p>
        </w:tc>
        <w:tc>
          <w:tcPr>
            <w:tcW w:w="1663" w:type="dxa"/>
            <w:noWrap/>
          </w:tcPr>
          <w:p w14:paraId="2294BADD" w14:textId="2CA0A213"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25</w:t>
            </w:r>
          </w:p>
        </w:tc>
        <w:tc>
          <w:tcPr>
            <w:tcW w:w="2226" w:type="dxa"/>
            <w:noWrap/>
          </w:tcPr>
          <w:p w14:paraId="3ED171D9" w14:textId="29768267"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w:t>
            </w:r>
          </w:p>
        </w:tc>
        <w:tc>
          <w:tcPr>
            <w:tcW w:w="1129" w:type="dxa"/>
            <w:noWrap/>
          </w:tcPr>
          <w:p w14:paraId="04096934" w14:textId="4275788B"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2</w:t>
            </w:r>
          </w:p>
        </w:tc>
        <w:tc>
          <w:tcPr>
            <w:tcW w:w="1562" w:type="dxa"/>
            <w:noWrap/>
          </w:tcPr>
          <w:p w14:paraId="78159B6C" w14:textId="2F9E3F25" w:rsidR="00AB48C6" w:rsidRDefault="00AB48C6" w:rsidP="00AB48C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lang w:val="en-GB"/>
              </w:rPr>
            </w:pPr>
            <w:r>
              <w:rPr>
                <w:rFonts w:ascii="Times New Roman" w:hAnsi="Times New Roman" w:cs="Times New Roman"/>
                <w:sz w:val="20"/>
                <w:szCs w:val="20"/>
                <w:lang w:val="en-GB"/>
              </w:rPr>
              <w:t>0</w:t>
            </w:r>
          </w:p>
        </w:tc>
      </w:tr>
    </w:tbl>
    <w:p w14:paraId="2491967B" w14:textId="77777777" w:rsidR="00090CEA" w:rsidRPr="000F0CBE" w:rsidRDefault="00090CEA" w:rsidP="000F0CBE">
      <w:pPr>
        <w:spacing w:line="240" w:lineRule="auto"/>
        <w:rPr>
          <w:rFonts w:ascii="Times New Roman" w:hAnsi="Times New Roman" w:cs="Times New Roman"/>
          <w:b/>
          <w:bCs/>
          <w:sz w:val="20"/>
          <w:szCs w:val="20"/>
          <w:lang w:val="en-GB"/>
        </w:rPr>
      </w:pPr>
    </w:p>
    <w:p w14:paraId="3BDCB88E" w14:textId="77777777" w:rsidR="00281261" w:rsidRDefault="00281261">
      <w:pPr>
        <w:spacing w:after="120"/>
        <w:rPr>
          <w:rFonts w:ascii="Times New Roman" w:hAnsi="Times New Roman" w:cs="Times New Roman"/>
          <w:sz w:val="20"/>
          <w:szCs w:val="20"/>
          <w:lang w:val="en-GB"/>
        </w:rPr>
      </w:pPr>
    </w:p>
    <w:p w14:paraId="35E4983B" w14:textId="12D621D6" w:rsidR="004C3780" w:rsidRDefault="00FD10E8">
      <w:pPr>
        <w:spacing w:after="120"/>
        <w:rPr>
          <w:rFonts w:ascii="Times New Roman" w:hAnsi="Times New Roman" w:cs="Times New Roman"/>
          <w:sz w:val="20"/>
          <w:szCs w:val="20"/>
          <w:lang w:val="en-GB"/>
        </w:rPr>
      </w:pPr>
      <w:r>
        <w:rPr>
          <w:rFonts w:ascii="Times New Roman" w:hAnsi="Times New Roman" w:cs="Times New Roman"/>
          <w:sz w:val="20"/>
          <w:szCs w:val="20"/>
          <w:lang w:val="en-GB"/>
        </w:rPr>
        <w:t>Table A4 reports the healthcare footprint alongside national consumption totals and healthcare’s share of national impacts for each of the five categories.</w:t>
      </w:r>
    </w:p>
    <w:tbl>
      <w:tblPr>
        <w:tblStyle w:val="PlainTable1"/>
        <w:tblW w:w="9741" w:type="dxa"/>
        <w:tblLook w:val="04A0" w:firstRow="1" w:lastRow="0" w:firstColumn="1" w:lastColumn="0" w:noHBand="0" w:noVBand="1"/>
      </w:tblPr>
      <w:tblGrid>
        <w:gridCol w:w="2941"/>
        <w:gridCol w:w="1251"/>
        <w:gridCol w:w="1427"/>
        <w:gridCol w:w="4122"/>
      </w:tblGrid>
      <w:tr w:rsidR="00A76FD1" w:rsidRPr="000F0CBE" w14:paraId="2C74EDA1" w14:textId="77777777" w:rsidTr="00A76FD1">
        <w:trPr>
          <w:cnfStyle w:val="100000000000" w:firstRow="1" w:lastRow="0" w:firstColumn="0" w:lastColumn="0" w:oddVBand="0" w:evenVBand="0" w:oddHBand="0"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DB0F15E" w14:textId="77777777" w:rsidR="00A76FD1" w:rsidRPr="000F0CBE" w:rsidRDefault="00A76FD1" w:rsidP="000F0CBE">
            <w:pPr>
              <w:rPr>
                <w:rFonts w:ascii="Times New Roman" w:hAnsi="Times New Roman" w:cs="Times New Roman"/>
                <w:sz w:val="20"/>
                <w:szCs w:val="20"/>
              </w:rPr>
            </w:pPr>
          </w:p>
        </w:tc>
        <w:tc>
          <w:tcPr>
            <w:tcW w:w="1251" w:type="dxa"/>
            <w:noWrap/>
            <w:hideMark/>
          </w:tcPr>
          <w:p w14:paraId="28287486"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Healthcare </w:t>
            </w:r>
            <w:proofErr w:type="spellStart"/>
            <w:r>
              <w:rPr>
                <w:rFonts w:ascii="Times New Roman" w:hAnsi="Times New Roman" w:cs="Times New Roman"/>
                <w:sz w:val="20"/>
                <w:szCs w:val="20"/>
              </w:rPr>
              <w:t>footprint</w:t>
            </w:r>
            <w:proofErr w:type="spellEnd"/>
          </w:p>
        </w:tc>
        <w:tc>
          <w:tcPr>
            <w:tcW w:w="1427" w:type="dxa"/>
            <w:noWrap/>
            <w:hideMark/>
          </w:tcPr>
          <w:p w14:paraId="330AF632"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p>
        </w:tc>
        <w:tc>
          <w:tcPr>
            <w:tcW w:w="4122" w:type="dxa"/>
            <w:noWrap/>
            <w:hideMark/>
          </w:tcPr>
          <w:p w14:paraId="4693BAE0" w14:textId="77777777" w:rsidR="00A76FD1" w:rsidRPr="000F0CBE" w:rsidRDefault="00A76FD1" w:rsidP="000F0CBE">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 xml:space="preserve">Healthcare </w:t>
            </w:r>
            <w:proofErr w:type="spellStart"/>
            <w:r>
              <w:rPr>
                <w:rFonts w:ascii="Times New Roman" w:hAnsi="Times New Roman" w:cs="Times New Roman"/>
                <w:sz w:val="20"/>
                <w:szCs w:val="20"/>
              </w:rPr>
              <w:t>share</w:t>
            </w:r>
            <w:proofErr w:type="spellEnd"/>
            <w:r>
              <w:rPr>
                <w:rFonts w:ascii="Times New Roman" w:hAnsi="Times New Roman" w:cs="Times New Roman"/>
                <w:sz w:val="20"/>
                <w:szCs w:val="20"/>
              </w:rPr>
              <w:t xml:space="preserve"> of national </w:t>
            </w:r>
            <w:proofErr w:type="spellStart"/>
            <w:r>
              <w:rPr>
                <w:rFonts w:ascii="Times New Roman" w:hAnsi="Times New Roman" w:cs="Times New Roman"/>
                <w:sz w:val="20"/>
                <w:szCs w:val="20"/>
              </w:rPr>
              <w:t>consumption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footprint</w:t>
            </w:r>
            <w:proofErr w:type="spellEnd"/>
            <w:r>
              <w:rPr>
                <w:rFonts w:ascii="Times New Roman" w:hAnsi="Times New Roman" w:cs="Times New Roman"/>
                <w:sz w:val="20"/>
                <w:szCs w:val="20"/>
              </w:rPr>
              <w:t xml:space="preserve"> (%)</w:t>
            </w:r>
          </w:p>
        </w:tc>
      </w:tr>
      <w:tr w:rsidR="00A76FD1" w:rsidRPr="000F0CBE" w14:paraId="2EEA7F6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1CCD138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Global </w:t>
            </w:r>
            <w:proofErr w:type="spellStart"/>
            <w:r>
              <w:rPr>
                <w:rFonts w:ascii="Times New Roman" w:hAnsi="Times New Roman" w:cs="Times New Roman"/>
                <w:b w:val="0"/>
                <w:bCs w:val="0"/>
                <w:sz w:val="20"/>
                <w:szCs w:val="20"/>
              </w:rPr>
              <w:t>warming</w:t>
            </w:r>
            <w:proofErr w:type="spellEnd"/>
            <w:r>
              <w:rPr>
                <w:rFonts w:ascii="Times New Roman" w:hAnsi="Times New Roman" w:cs="Times New Roman"/>
                <w:b w:val="0"/>
                <w:bCs w:val="0"/>
                <w:sz w:val="20"/>
                <w:szCs w:val="20"/>
              </w:rPr>
              <w:t xml:space="preserve"> (ktCO2eq)</w:t>
            </w:r>
          </w:p>
        </w:tc>
        <w:tc>
          <w:tcPr>
            <w:tcW w:w="1251" w:type="dxa"/>
            <w:noWrap/>
            <w:hideMark/>
          </w:tcPr>
          <w:p w14:paraId="0273EEC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4814</w:t>
            </w:r>
            <w:r>
              <w:rPr>
                <w:rFonts w:ascii="Times New Roman" w:hAnsi="Times New Roman" w:cs="Times New Roman"/>
                <w:sz w:val="20"/>
                <w:szCs w:val="20"/>
                <w:lang w:val="en-GB"/>
              </w:rPr>
              <w:t>·</w:t>
            </w:r>
            <w:r>
              <w:rPr>
                <w:rFonts w:ascii="Times New Roman" w:hAnsi="Times New Roman" w:cs="Times New Roman"/>
                <w:sz w:val="20"/>
                <w:szCs w:val="20"/>
              </w:rPr>
              <w:t>69</w:t>
            </w:r>
          </w:p>
        </w:tc>
        <w:tc>
          <w:tcPr>
            <w:tcW w:w="1427" w:type="dxa"/>
            <w:noWrap/>
            <w:hideMark/>
          </w:tcPr>
          <w:p w14:paraId="349CFB80"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85752</w:t>
            </w:r>
            <w:r>
              <w:rPr>
                <w:rFonts w:ascii="Times New Roman" w:hAnsi="Times New Roman" w:cs="Times New Roman"/>
                <w:sz w:val="20"/>
                <w:szCs w:val="20"/>
                <w:lang w:val="en-GB"/>
              </w:rPr>
              <w:t>·</w:t>
            </w:r>
            <w:r>
              <w:rPr>
                <w:rFonts w:ascii="Times New Roman" w:hAnsi="Times New Roman" w:cs="Times New Roman"/>
                <w:sz w:val="20"/>
                <w:szCs w:val="20"/>
              </w:rPr>
              <w:t>01</w:t>
            </w:r>
          </w:p>
        </w:tc>
        <w:tc>
          <w:tcPr>
            <w:tcW w:w="4122" w:type="dxa"/>
            <w:noWrap/>
            <w:hideMark/>
          </w:tcPr>
          <w:p w14:paraId="05692CD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w:t>
            </w:r>
            <w:r>
              <w:rPr>
                <w:rFonts w:ascii="Times New Roman" w:hAnsi="Times New Roman" w:cs="Times New Roman"/>
                <w:sz w:val="20"/>
                <w:szCs w:val="20"/>
                <w:lang w:val="en-GB"/>
              </w:rPr>
              <w:t>·</w:t>
            </w:r>
            <w:r>
              <w:rPr>
                <w:rFonts w:ascii="Times New Roman" w:hAnsi="Times New Roman" w:cs="Times New Roman"/>
                <w:sz w:val="20"/>
                <w:szCs w:val="20"/>
              </w:rPr>
              <w:t>61</w:t>
            </w:r>
          </w:p>
        </w:tc>
      </w:tr>
      <w:tr w:rsidR="00A76FD1" w:rsidRPr="000F0CBE" w14:paraId="35D2B070"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7525CAC9" w14:textId="77777777" w:rsidR="00A76FD1" w:rsidRPr="000F0CBE" w:rsidRDefault="00A76FD1" w:rsidP="000F0CBE">
            <w:pPr>
              <w:rPr>
                <w:rFonts w:ascii="Times New Roman" w:hAnsi="Times New Roman" w:cs="Times New Roman"/>
                <w:b w:val="0"/>
                <w:bCs w:val="0"/>
                <w:sz w:val="20"/>
                <w:szCs w:val="20"/>
              </w:rPr>
            </w:pPr>
            <w:proofErr w:type="spellStart"/>
            <w:r>
              <w:rPr>
                <w:rFonts w:ascii="Times New Roman" w:hAnsi="Times New Roman" w:cs="Times New Roman"/>
                <w:b w:val="0"/>
                <w:bCs w:val="0"/>
                <w:sz w:val="20"/>
                <w:szCs w:val="20"/>
              </w:rPr>
              <w:t>Material</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extraction</w:t>
            </w:r>
            <w:proofErr w:type="spellEnd"/>
            <w:r>
              <w:rPr>
                <w:rFonts w:ascii="Times New Roman" w:hAnsi="Times New Roman" w:cs="Times New Roman"/>
                <w:b w:val="0"/>
                <w:bCs w:val="0"/>
                <w:sz w:val="20"/>
                <w:szCs w:val="20"/>
              </w:rPr>
              <w:t xml:space="preserve"> (kt)</w:t>
            </w:r>
          </w:p>
        </w:tc>
        <w:tc>
          <w:tcPr>
            <w:tcW w:w="1251" w:type="dxa"/>
            <w:noWrap/>
            <w:hideMark/>
          </w:tcPr>
          <w:p w14:paraId="45E16858"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2600</w:t>
            </w:r>
            <w:r>
              <w:rPr>
                <w:rFonts w:ascii="Times New Roman" w:hAnsi="Times New Roman" w:cs="Times New Roman"/>
                <w:sz w:val="20"/>
                <w:szCs w:val="20"/>
                <w:lang w:val="en-GB"/>
              </w:rPr>
              <w:t>·</w:t>
            </w:r>
            <w:r>
              <w:rPr>
                <w:rFonts w:ascii="Times New Roman" w:hAnsi="Times New Roman" w:cs="Times New Roman"/>
                <w:sz w:val="20"/>
                <w:szCs w:val="20"/>
              </w:rPr>
              <w:t>56</w:t>
            </w:r>
          </w:p>
        </w:tc>
        <w:tc>
          <w:tcPr>
            <w:tcW w:w="1427" w:type="dxa"/>
            <w:noWrap/>
            <w:hideMark/>
          </w:tcPr>
          <w:p w14:paraId="736CE463"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47233</w:t>
            </w:r>
            <w:r>
              <w:rPr>
                <w:rFonts w:ascii="Times New Roman" w:hAnsi="Times New Roman" w:cs="Times New Roman"/>
                <w:sz w:val="20"/>
                <w:szCs w:val="20"/>
                <w:lang w:val="en-GB"/>
              </w:rPr>
              <w:t>·</w:t>
            </w:r>
            <w:r>
              <w:rPr>
                <w:rFonts w:ascii="Times New Roman" w:hAnsi="Times New Roman" w:cs="Times New Roman"/>
                <w:sz w:val="20"/>
                <w:szCs w:val="20"/>
              </w:rPr>
              <w:t>92</w:t>
            </w:r>
          </w:p>
        </w:tc>
        <w:tc>
          <w:tcPr>
            <w:tcW w:w="4122" w:type="dxa"/>
            <w:noWrap/>
            <w:hideMark/>
          </w:tcPr>
          <w:p w14:paraId="3382A3CD"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5</w:t>
            </w:r>
            <w:r>
              <w:rPr>
                <w:rFonts w:ascii="Times New Roman" w:hAnsi="Times New Roman" w:cs="Times New Roman"/>
                <w:sz w:val="20"/>
                <w:szCs w:val="20"/>
                <w:lang w:val="en-GB"/>
              </w:rPr>
              <w:t>·</w:t>
            </w:r>
            <w:r>
              <w:rPr>
                <w:rFonts w:ascii="Times New Roman" w:hAnsi="Times New Roman" w:cs="Times New Roman"/>
                <w:sz w:val="20"/>
                <w:szCs w:val="20"/>
              </w:rPr>
              <w:t>51</w:t>
            </w:r>
          </w:p>
        </w:tc>
      </w:tr>
      <w:tr w:rsidR="00A76FD1" w:rsidRPr="000F0CBE" w14:paraId="2B6198F7"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6EC77EAB"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Blue </w:t>
            </w:r>
            <w:proofErr w:type="spellStart"/>
            <w:r>
              <w:rPr>
                <w:rFonts w:ascii="Times New Roman" w:hAnsi="Times New Roman" w:cs="Times New Roman"/>
                <w:b w:val="0"/>
                <w:bCs w:val="0"/>
                <w:sz w:val="20"/>
                <w:szCs w:val="20"/>
              </w:rPr>
              <w:t>water</w:t>
            </w:r>
            <w:proofErr w:type="spellEnd"/>
            <w:r>
              <w:rPr>
                <w:rFonts w:ascii="Times New Roman" w:hAnsi="Times New Roman" w:cs="Times New Roman"/>
                <w:b w:val="0"/>
                <w:bCs w:val="0"/>
                <w:sz w:val="20"/>
                <w:szCs w:val="20"/>
              </w:rPr>
              <w:t xml:space="preserve"> </w:t>
            </w:r>
            <w:proofErr w:type="spellStart"/>
            <w:r>
              <w:rPr>
                <w:rFonts w:ascii="Times New Roman" w:hAnsi="Times New Roman" w:cs="Times New Roman"/>
                <w:b w:val="0"/>
                <w:bCs w:val="0"/>
                <w:sz w:val="20"/>
                <w:szCs w:val="20"/>
              </w:rPr>
              <w:t>consumption</w:t>
            </w:r>
            <w:proofErr w:type="spellEnd"/>
            <w:r>
              <w:rPr>
                <w:rFonts w:ascii="Times New Roman" w:hAnsi="Times New Roman" w:cs="Times New Roman"/>
                <w:b w:val="0"/>
                <w:bCs w:val="0"/>
                <w:sz w:val="20"/>
                <w:szCs w:val="20"/>
              </w:rPr>
              <w:t xml:space="preserve"> (Mm3)</w:t>
            </w:r>
          </w:p>
        </w:tc>
        <w:tc>
          <w:tcPr>
            <w:tcW w:w="1251" w:type="dxa"/>
            <w:noWrap/>
            <w:hideMark/>
          </w:tcPr>
          <w:p w14:paraId="765358F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46</w:t>
            </w:r>
            <w:r>
              <w:rPr>
                <w:rFonts w:ascii="Times New Roman" w:hAnsi="Times New Roman" w:cs="Times New Roman"/>
                <w:sz w:val="20"/>
                <w:szCs w:val="20"/>
                <w:lang w:val="en-GB"/>
              </w:rPr>
              <w:t>·</w:t>
            </w:r>
            <w:r>
              <w:rPr>
                <w:rFonts w:ascii="Times New Roman" w:hAnsi="Times New Roman" w:cs="Times New Roman"/>
                <w:sz w:val="20"/>
                <w:szCs w:val="20"/>
              </w:rPr>
              <w:t>54</w:t>
            </w:r>
          </w:p>
        </w:tc>
        <w:tc>
          <w:tcPr>
            <w:tcW w:w="1427" w:type="dxa"/>
            <w:noWrap/>
            <w:hideMark/>
          </w:tcPr>
          <w:p w14:paraId="7689A6EB"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1070</w:t>
            </w:r>
            <w:r>
              <w:rPr>
                <w:rFonts w:ascii="Times New Roman" w:hAnsi="Times New Roman" w:cs="Times New Roman"/>
                <w:sz w:val="20"/>
                <w:szCs w:val="20"/>
                <w:lang w:val="en-GB"/>
              </w:rPr>
              <w:t>·</w:t>
            </w:r>
            <w:r>
              <w:rPr>
                <w:rFonts w:ascii="Times New Roman" w:hAnsi="Times New Roman" w:cs="Times New Roman"/>
                <w:sz w:val="20"/>
                <w:szCs w:val="20"/>
              </w:rPr>
              <w:t>44</w:t>
            </w:r>
          </w:p>
        </w:tc>
        <w:tc>
          <w:tcPr>
            <w:tcW w:w="4122" w:type="dxa"/>
            <w:noWrap/>
            <w:hideMark/>
          </w:tcPr>
          <w:p w14:paraId="19D56A74"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4</w:t>
            </w:r>
            <w:r>
              <w:rPr>
                <w:rFonts w:ascii="Times New Roman" w:hAnsi="Times New Roman" w:cs="Times New Roman"/>
                <w:sz w:val="20"/>
                <w:szCs w:val="20"/>
                <w:lang w:val="en-GB"/>
              </w:rPr>
              <w:t>·</w:t>
            </w:r>
            <w:r>
              <w:rPr>
                <w:rFonts w:ascii="Times New Roman" w:hAnsi="Times New Roman" w:cs="Times New Roman"/>
                <w:sz w:val="20"/>
                <w:szCs w:val="20"/>
              </w:rPr>
              <w:t>35</w:t>
            </w:r>
          </w:p>
        </w:tc>
      </w:tr>
      <w:tr w:rsidR="00A76FD1" w:rsidRPr="000F0CBE" w14:paraId="74A20E97" w14:textId="77777777" w:rsidTr="00A76FD1">
        <w:trPr>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5A3617BE"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 xml:space="preserve">Land </w:t>
            </w:r>
            <w:proofErr w:type="spellStart"/>
            <w:r>
              <w:rPr>
                <w:rFonts w:ascii="Times New Roman" w:hAnsi="Times New Roman" w:cs="Times New Roman"/>
                <w:b w:val="0"/>
                <w:bCs w:val="0"/>
                <w:sz w:val="20"/>
                <w:szCs w:val="20"/>
              </w:rPr>
              <w:t>use</w:t>
            </w:r>
            <w:proofErr w:type="spellEnd"/>
            <w:r>
              <w:rPr>
                <w:rFonts w:ascii="Times New Roman" w:hAnsi="Times New Roman" w:cs="Times New Roman"/>
                <w:b w:val="0"/>
                <w:bCs w:val="0"/>
                <w:sz w:val="20"/>
                <w:szCs w:val="20"/>
              </w:rPr>
              <w:t xml:space="preserve"> (km2)</w:t>
            </w:r>
          </w:p>
        </w:tc>
        <w:tc>
          <w:tcPr>
            <w:tcW w:w="1251" w:type="dxa"/>
            <w:noWrap/>
            <w:hideMark/>
          </w:tcPr>
          <w:p w14:paraId="6839AFF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2753</w:t>
            </w:r>
            <w:r>
              <w:rPr>
                <w:rFonts w:ascii="Times New Roman" w:hAnsi="Times New Roman" w:cs="Times New Roman"/>
                <w:sz w:val="20"/>
                <w:szCs w:val="20"/>
                <w:lang w:val="en-GB"/>
              </w:rPr>
              <w:t>·</w:t>
            </w:r>
            <w:r>
              <w:rPr>
                <w:rFonts w:ascii="Times New Roman" w:hAnsi="Times New Roman" w:cs="Times New Roman"/>
                <w:sz w:val="20"/>
                <w:szCs w:val="20"/>
              </w:rPr>
              <w:t>15</w:t>
            </w:r>
          </w:p>
        </w:tc>
        <w:tc>
          <w:tcPr>
            <w:tcW w:w="1427" w:type="dxa"/>
            <w:noWrap/>
            <w:hideMark/>
          </w:tcPr>
          <w:p w14:paraId="08204557"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76743</w:t>
            </w:r>
            <w:r>
              <w:rPr>
                <w:rFonts w:ascii="Times New Roman" w:hAnsi="Times New Roman" w:cs="Times New Roman"/>
                <w:sz w:val="20"/>
                <w:szCs w:val="20"/>
                <w:lang w:val="en-GB"/>
              </w:rPr>
              <w:t>·</w:t>
            </w:r>
            <w:r>
              <w:rPr>
                <w:rFonts w:ascii="Times New Roman" w:hAnsi="Times New Roman" w:cs="Times New Roman"/>
                <w:sz w:val="20"/>
                <w:szCs w:val="20"/>
              </w:rPr>
              <w:t>82</w:t>
            </w:r>
          </w:p>
        </w:tc>
        <w:tc>
          <w:tcPr>
            <w:tcW w:w="4122" w:type="dxa"/>
            <w:noWrap/>
            <w:hideMark/>
          </w:tcPr>
          <w:p w14:paraId="5910CD55" w14:textId="77777777" w:rsidR="00A76FD1" w:rsidRPr="000F0CBE" w:rsidRDefault="00A76FD1" w:rsidP="000F0CB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w:t>
            </w:r>
            <w:r>
              <w:rPr>
                <w:rFonts w:ascii="Times New Roman" w:hAnsi="Times New Roman" w:cs="Times New Roman"/>
                <w:sz w:val="20"/>
                <w:szCs w:val="20"/>
                <w:lang w:val="en-GB"/>
              </w:rPr>
              <w:t>·</w:t>
            </w:r>
            <w:r>
              <w:rPr>
                <w:rFonts w:ascii="Times New Roman" w:hAnsi="Times New Roman" w:cs="Times New Roman"/>
                <w:sz w:val="20"/>
                <w:szCs w:val="20"/>
              </w:rPr>
              <w:t>59</w:t>
            </w:r>
          </w:p>
        </w:tc>
      </w:tr>
      <w:tr w:rsidR="00A76FD1" w:rsidRPr="000F0CBE" w14:paraId="0753C6B3" w14:textId="77777777" w:rsidTr="00A76FD1">
        <w:trPr>
          <w:cnfStyle w:val="000000100000" w:firstRow="0" w:lastRow="0" w:firstColumn="0" w:lastColumn="0" w:oddVBand="0" w:evenVBand="0" w:oddHBand="1" w:evenHBand="0" w:firstRowFirstColumn="0" w:firstRowLastColumn="0" w:lastRowFirstColumn="0" w:lastRowLastColumn="0"/>
          <w:trHeight w:val="288"/>
        </w:trPr>
        <w:tc>
          <w:tcPr>
            <w:cnfStyle w:val="001000000000" w:firstRow="0" w:lastRow="0" w:firstColumn="1" w:lastColumn="0" w:oddVBand="0" w:evenVBand="0" w:oddHBand="0" w:evenHBand="0" w:firstRowFirstColumn="0" w:firstRowLastColumn="0" w:lastRowFirstColumn="0" w:lastRowLastColumn="0"/>
            <w:tcW w:w="2941" w:type="dxa"/>
            <w:noWrap/>
            <w:hideMark/>
          </w:tcPr>
          <w:p w14:paraId="0816B976" w14:textId="77777777" w:rsidR="00A76FD1" w:rsidRPr="000F0CBE" w:rsidRDefault="00A76FD1" w:rsidP="000F0CBE">
            <w:pPr>
              <w:rPr>
                <w:rFonts w:ascii="Times New Roman" w:hAnsi="Times New Roman" w:cs="Times New Roman"/>
                <w:b w:val="0"/>
                <w:bCs w:val="0"/>
                <w:sz w:val="20"/>
                <w:szCs w:val="20"/>
              </w:rPr>
            </w:pPr>
            <w:r>
              <w:rPr>
                <w:rFonts w:ascii="Times New Roman" w:hAnsi="Times New Roman" w:cs="Times New Roman"/>
                <w:b w:val="0"/>
                <w:bCs w:val="0"/>
                <w:sz w:val="20"/>
                <w:szCs w:val="20"/>
              </w:rPr>
              <w:t>Waste generation (kt)</w:t>
            </w:r>
          </w:p>
        </w:tc>
        <w:tc>
          <w:tcPr>
            <w:tcW w:w="1251" w:type="dxa"/>
            <w:noWrap/>
            <w:hideMark/>
          </w:tcPr>
          <w:p w14:paraId="6AD5880E"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840</w:t>
            </w:r>
            <w:r>
              <w:rPr>
                <w:rFonts w:ascii="Times New Roman" w:hAnsi="Times New Roman" w:cs="Times New Roman"/>
                <w:sz w:val="20"/>
                <w:szCs w:val="20"/>
                <w:lang w:val="en-GB"/>
              </w:rPr>
              <w:t>·</w:t>
            </w:r>
            <w:r>
              <w:rPr>
                <w:rFonts w:ascii="Times New Roman" w:hAnsi="Times New Roman" w:cs="Times New Roman"/>
                <w:sz w:val="20"/>
                <w:szCs w:val="20"/>
              </w:rPr>
              <w:t>18</w:t>
            </w:r>
          </w:p>
        </w:tc>
        <w:tc>
          <w:tcPr>
            <w:tcW w:w="1427" w:type="dxa"/>
            <w:noWrap/>
            <w:hideMark/>
          </w:tcPr>
          <w:p w14:paraId="1CD17707"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23288</w:t>
            </w:r>
            <w:r>
              <w:rPr>
                <w:rFonts w:ascii="Times New Roman" w:hAnsi="Times New Roman" w:cs="Times New Roman"/>
                <w:sz w:val="20"/>
                <w:szCs w:val="20"/>
                <w:lang w:val="en-GB"/>
              </w:rPr>
              <w:t>·</w:t>
            </w:r>
            <w:r>
              <w:rPr>
                <w:rFonts w:ascii="Times New Roman" w:hAnsi="Times New Roman" w:cs="Times New Roman"/>
                <w:sz w:val="20"/>
                <w:szCs w:val="20"/>
              </w:rPr>
              <w:t>34</w:t>
            </w:r>
          </w:p>
        </w:tc>
        <w:tc>
          <w:tcPr>
            <w:tcW w:w="4122" w:type="dxa"/>
            <w:noWrap/>
            <w:hideMark/>
          </w:tcPr>
          <w:p w14:paraId="2ACFF76C" w14:textId="77777777" w:rsidR="00A76FD1" w:rsidRPr="000F0CBE" w:rsidRDefault="00A76FD1" w:rsidP="000F0CB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Pr>
                <w:rFonts w:ascii="Times New Roman" w:hAnsi="Times New Roman" w:cs="Times New Roman"/>
                <w:sz w:val="20"/>
                <w:szCs w:val="20"/>
              </w:rPr>
              <w:t>3</w:t>
            </w:r>
            <w:r>
              <w:rPr>
                <w:rFonts w:ascii="Times New Roman" w:hAnsi="Times New Roman" w:cs="Times New Roman"/>
                <w:sz w:val="20"/>
                <w:szCs w:val="20"/>
                <w:lang w:val="en-GB"/>
              </w:rPr>
              <w:t>·</w:t>
            </w:r>
            <w:r>
              <w:rPr>
                <w:rFonts w:ascii="Times New Roman" w:hAnsi="Times New Roman" w:cs="Times New Roman"/>
                <w:sz w:val="20"/>
                <w:szCs w:val="20"/>
              </w:rPr>
              <w:t>61</w:t>
            </w:r>
          </w:p>
        </w:tc>
      </w:tr>
    </w:tbl>
    <w:p w14:paraId="33FA7A0D" w14:textId="77777777" w:rsidR="00B57CEF" w:rsidRPr="000F0CBE" w:rsidRDefault="00B57CEF" w:rsidP="000F0CBE">
      <w:pPr>
        <w:spacing w:line="240" w:lineRule="auto"/>
        <w:rPr>
          <w:rFonts w:ascii="Times New Roman" w:hAnsi="Times New Roman" w:cs="Times New Roman"/>
          <w:sz w:val="20"/>
          <w:szCs w:val="20"/>
          <w:lang w:val="en-GB"/>
        </w:rPr>
      </w:pPr>
    </w:p>
    <w:p w14:paraId="2B2900F7" w14:textId="77777777" w:rsidR="00B57CEF" w:rsidRPr="000F0CBE" w:rsidRDefault="00704A71" w:rsidP="000F0CBE">
      <w:pPr>
        <w:spacing w:line="240" w:lineRule="auto"/>
        <w:rPr>
          <w:rFonts w:ascii="Times New Roman" w:hAnsi="Times New Roman" w:cs="Times New Roman"/>
          <w:sz w:val="20"/>
          <w:szCs w:val="20"/>
          <w:lang w:val="en-GB"/>
        </w:rPr>
      </w:pPr>
      <w:r>
        <w:rPr>
          <w:rFonts w:ascii="Times New Roman" w:hAnsi="Times New Roman" w:cs="Times New Roman"/>
          <w:sz w:val="20"/>
          <w:szCs w:val="20"/>
          <w:lang w:val="en-GB"/>
        </w:rPr>
        <w:t xml:space="preserve">Table A5 compares healthcare expenditure for selected consumption categories with greenhouse gas emission intensities of related supply chain sectors. Although expenditure on pharmaceuticals and chemical products exceeds that of transport, transport-related activities exhibit a higher emission intensity per monetary unit and ultimately contribute more to total emissions. This contrast reflects the decoupling between final demand and the distribution of environmental impacts across supply chains. The comparison also serves as a consistency check to support the interpretation of transport as a dominant emission source. </w:t>
      </w:r>
    </w:p>
    <w:tbl>
      <w:tblPr>
        <w:tblStyle w:val="TableGrid"/>
        <w:tblW w:w="9741" w:type="dxa"/>
        <w:tblLook w:val="04A0" w:firstRow="1" w:lastRow="0" w:firstColumn="1" w:lastColumn="0" w:noHBand="0" w:noVBand="1"/>
      </w:tblPr>
      <w:tblGrid>
        <w:gridCol w:w="2632"/>
        <w:gridCol w:w="2496"/>
        <w:gridCol w:w="4613"/>
      </w:tblGrid>
      <w:tr w:rsidR="00D9536D" w:rsidRPr="000F0CBE" w14:paraId="4805E382" w14:textId="77777777" w:rsidTr="00A732DC">
        <w:tc>
          <w:tcPr>
            <w:tcW w:w="2632" w:type="dxa"/>
          </w:tcPr>
          <w:p w14:paraId="5F16DF1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Category </w:t>
            </w:r>
          </w:p>
        </w:tc>
        <w:tc>
          <w:tcPr>
            <w:tcW w:w="2496" w:type="dxa"/>
          </w:tcPr>
          <w:p w14:paraId="0B787921"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Expenditure (MEUR)</w:t>
            </w:r>
          </w:p>
        </w:tc>
        <w:tc>
          <w:tcPr>
            <w:tcW w:w="4613" w:type="dxa"/>
          </w:tcPr>
          <w:p w14:paraId="27CB9452"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Emission intensity (kt </w:t>
            </w:r>
            <w:proofErr w:type="spellStart"/>
            <w:r>
              <w:rPr>
                <w:rFonts w:ascii="Times New Roman" w:hAnsi="Times New Roman" w:cs="Times New Roman"/>
                <w:sz w:val="20"/>
                <w:szCs w:val="20"/>
                <w:lang w:val="en-GB"/>
              </w:rPr>
              <w:t>CO₂e</w:t>
            </w:r>
            <w:proofErr w:type="spellEnd"/>
            <w:r>
              <w:rPr>
                <w:rFonts w:ascii="Times New Roman" w:hAnsi="Times New Roman" w:cs="Times New Roman"/>
                <w:sz w:val="20"/>
                <w:szCs w:val="20"/>
                <w:lang w:val="en-GB"/>
              </w:rPr>
              <w:t xml:space="preserve"> per MEUR)</w:t>
            </w:r>
          </w:p>
        </w:tc>
      </w:tr>
      <w:tr w:rsidR="00D9536D" w:rsidRPr="000F0CBE" w14:paraId="3D69EAD8" w14:textId="77777777" w:rsidTr="00A732DC">
        <w:tc>
          <w:tcPr>
            <w:tcW w:w="2632" w:type="dxa"/>
          </w:tcPr>
          <w:p w14:paraId="24F5C446"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Pharmaceuticals and Chemical products </w:t>
            </w:r>
          </w:p>
        </w:tc>
        <w:tc>
          <w:tcPr>
            <w:tcW w:w="2496" w:type="dxa"/>
          </w:tcPr>
          <w:p w14:paraId="0377874D"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1,685</w:t>
            </w:r>
          </w:p>
        </w:tc>
        <w:tc>
          <w:tcPr>
            <w:tcW w:w="4613" w:type="dxa"/>
          </w:tcPr>
          <w:p w14:paraId="1B8E4E98"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0·43 (based on chemicals </w:t>
            </w:r>
            <w:proofErr w:type="spellStart"/>
            <w:r>
              <w:rPr>
                <w:rFonts w:ascii="Times New Roman" w:hAnsi="Times New Roman" w:cs="Times New Roman"/>
                <w:sz w:val="20"/>
                <w:szCs w:val="20"/>
                <w:lang w:val="en-GB"/>
              </w:rPr>
              <w:t>n.e.c.</w:t>
            </w:r>
            <w:proofErr w:type="spellEnd"/>
            <w:r>
              <w:rPr>
                <w:rFonts w:ascii="Times New Roman" w:hAnsi="Times New Roman" w:cs="Times New Roman"/>
                <w:sz w:val="20"/>
                <w:szCs w:val="20"/>
                <w:lang w:val="en-GB"/>
              </w:rPr>
              <w:t>)</w:t>
            </w:r>
          </w:p>
        </w:tc>
      </w:tr>
      <w:tr w:rsidR="00D9536D" w:rsidRPr="000F0CBE" w14:paraId="7F34E9CB" w14:textId="77777777" w:rsidTr="00A732DC">
        <w:tc>
          <w:tcPr>
            <w:tcW w:w="2632" w:type="dxa"/>
          </w:tcPr>
          <w:p w14:paraId="23634134"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 xml:space="preserve">Transport </w:t>
            </w:r>
          </w:p>
        </w:tc>
        <w:tc>
          <w:tcPr>
            <w:tcW w:w="2496" w:type="dxa"/>
          </w:tcPr>
          <w:p w14:paraId="31C92E79"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969</w:t>
            </w:r>
          </w:p>
        </w:tc>
        <w:tc>
          <w:tcPr>
            <w:tcW w:w="4613" w:type="dxa"/>
          </w:tcPr>
          <w:p w14:paraId="0E08B5D8" w14:textId="77777777" w:rsidR="00D9536D" w:rsidRPr="000F0CBE" w:rsidRDefault="00D9536D" w:rsidP="000F0CBE">
            <w:pPr>
              <w:rPr>
                <w:rFonts w:ascii="Times New Roman" w:hAnsi="Times New Roman" w:cs="Times New Roman"/>
                <w:sz w:val="20"/>
                <w:szCs w:val="20"/>
                <w:lang w:val="en-GB"/>
              </w:rPr>
            </w:pPr>
            <w:r>
              <w:rPr>
                <w:rFonts w:ascii="Times New Roman" w:hAnsi="Times New Roman" w:cs="Times New Roman"/>
                <w:sz w:val="20"/>
                <w:szCs w:val="20"/>
                <w:lang w:val="en-GB"/>
              </w:rPr>
              <w:t>1·17</w:t>
            </w:r>
          </w:p>
        </w:tc>
      </w:tr>
    </w:tbl>
    <w:p w14:paraId="2BFA1825" w14:textId="77777777" w:rsidR="000416D0" w:rsidRPr="000F0CBE" w:rsidRDefault="000416D0" w:rsidP="000F0CBE">
      <w:pPr>
        <w:spacing w:line="240" w:lineRule="auto"/>
        <w:rPr>
          <w:rFonts w:ascii="Times New Roman" w:hAnsi="Times New Roman" w:cs="Times New Roman"/>
          <w:b/>
          <w:bCs/>
          <w:sz w:val="20"/>
          <w:szCs w:val="20"/>
          <w:lang w:val="en-GB"/>
        </w:rPr>
      </w:pPr>
    </w:p>
    <w:p w14:paraId="347CFF9C" w14:textId="77777777" w:rsidR="00B57CEF" w:rsidRPr="000F0CBE" w:rsidRDefault="00B57CEF" w:rsidP="000F0CBE">
      <w:pPr>
        <w:spacing w:line="240" w:lineRule="auto"/>
        <w:rPr>
          <w:rFonts w:ascii="Times New Roman" w:hAnsi="Times New Roman" w:cs="Times New Roman"/>
          <w:sz w:val="20"/>
          <w:szCs w:val="20"/>
          <w:lang w:val="en-GB"/>
        </w:rPr>
      </w:pPr>
    </w:p>
    <w:p w14:paraId="3A66D80B" w14:textId="77777777" w:rsidR="00045CCE" w:rsidRPr="00845AB3" w:rsidRDefault="00045CCE" w:rsidP="000F0CBE">
      <w:pPr>
        <w:spacing w:line="240" w:lineRule="auto"/>
        <w:rPr>
          <w:rFonts w:ascii="Times New Roman" w:hAnsi="Times New Roman" w:cs="Times New Roman"/>
          <w:b/>
          <w:bCs/>
          <w:sz w:val="20"/>
          <w:szCs w:val="20"/>
          <w:lang w:val="en-GB"/>
        </w:rPr>
      </w:pPr>
      <w:r>
        <w:rPr>
          <w:rFonts w:ascii="Times New Roman" w:hAnsi="Times New Roman" w:cs="Times New Roman"/>
          <w:b/>
          <w:bCs/>
          <w:sz w:val="20"/>
          <w:szCs w:val="20"/>
          <w:lang w:val="en-GB"/>
        </w:rPr>
        <w:t>References</w:t>
      </w:r>
    </w:p>
    <w:p w14:paraId="11264977" w14:textId="77777777" w:rsidR="00700BFD" w:rsidRPr="00700BFD" w:rsidRDefault="007B498E" w:rsidP="006850FA">
      <w:pPr>
        <w:pStyle w:val="EndNoteBibliography"/>
        <w:spacing w:after="0"/>
        <w:ind w:hanging="709"/>
      </w:pPr>
      <w:r>
        <w:rPr>
          <w:rFonts w:ascii="Times New Roman" w:hAnsi="Times New Roman" w:cs="Times New Roman"/>
          <w:sz w:val="20"/>
          <w:szCs w:val="20"/>
        </w:rPr>
        <w:fldChar w:fldCharType="begin"/>
      </w:r>
      <w:r>
        <w:rPr>
          <w:rFonts w:ascii="Times New Roman" w:hAnsi="Times New Roman" w:cs="Times New Roman"/>
          <w:sz w:val="20"/>
          <w:szCs w:val="20"/>
        </w:rPr>
        <w:instrText xml:space="preserve"> ADDIN EN.REFLIST </w:instrText>
      </w:r>
      <w:r>
        <w:rPr>
          <w:rFonts w:ascii="Times New Roman" w:hAnsi="Times New Roman" w:cs="Times New Roman"/>
          <w:sz w:val="20"/>
          <w:szCs w:val="20"/>
        </w:rPr>
        <w:fldChar w:fldCharType="separate"/>
      </w:r>
      <w:r w:rsidR="00700BFD" w:rsidRPr="00700BFD">
        <w:t>1.</w:t>
      </w:r>
      <w:r w:rsidR="00700BFD" w:rsidRPr="00700BFD">
        <w:tab/>
        <w:t>Organisation for Economic Co-operation and Development, Eurostat, World Health Organization. A System of Health Accounts 2011 (Revised): OECD, 2017.</w:t>
      </w:r>
    </w:p>
    <w:p w14:paraId="7240FA4C" w14:textId="77777777" w:rsidR="00700BFD" w:rsidRPr="00700BFD" w:rsidRDefault="00700BFD" w:rsidP="006850FA">
      <w:pPr>
        <w:pStyle w:val="EndNoteBibliography"/>
        <w:spacing w:after="0"/>
        <w:ind w:hanging="709"/>
      </w:pPr>
      <w:r w:rsidRPr="00700BFD">
        <w:t>2.</w:t>
      </w:r>
      <w:r w:rsidRPr="00700BFD">
        <w:tab/>
        <w:t>Hagenaars RH. An investigation into the carbon and material footprint of the Dutch consumption of pharmaceuticals. Leiden, The Netherlands: Delft University of Technology; Leiden University; 2022.</w:t>
      </w:r>
    </w:p>
    <w:p w14:paraId="154D6EB2" w14:textId="77777777" w:rsidR="00700BFD" w:rsidRPr="00700BFD" w:rsidRDefault="00700BFD" w:rsidP="006850FA">
      <w:pPr>
        <w:pStyle w:val="EndNoteBibliography"/>
        <w:spacing w:after="0"/>
        <w:ind w:hanging="709"/>
      </w:pPr>
      <w:r w:rsidRPr="00700BFD">
        <w:t>3.</w:t>
      </w:r>
      <w:r w:rsidRPr="00700BFD">
        <w:tab/>
        <w:t xml:space="preserve">Olsen RWF, Johansen KB, Ayivee F, Gislason S, Pedersen SA, Cimpan C. The greener prescription: Life cycle environmental impact of oral and IV penicillin treatments. </w:t>
      </w:r>
      <w:r w:rsidRPr="00700BFD">
        <w:rPr>
          <w:i/>
        </w:rPr>
        <w:t>Sustainable Chemistry and Pharmacy</w:t>
      </w:r>
      <w:r w:rsidRPr="00700BFD">
        <w:t xml:space="preserve"> 2026; </w:t>
      </w:r>
      <w:r w:rsidRPr="00700BFD">
        <w:rPr>
          <w:b/>
        </w:rPr>
        <w:t>50</w:t>
      </w:r>
      <w:r w:rsidRPr="00700BFD">
        <w:t>.</w:t>
      </w:r>
    </w:p>
    <w:p w14:paraId="4A110D2D" w14:textId="77777777" w:rsidR="00700BFD" w:rsidRPr="00700BFD" w:rsidRDefault="00700BFD" w:rsidP="006850FA">
      <w:pPr>
        <w:pStyle w:val="EndNoteBibliography"/>
        <w:spacing w:after="0"/>
        <w:ind w:hanging="709"/>
      </w:pPr>
      <w:r w:rsidRPr="00700BFD">
        <w:t>4.</w:t>
      </w:r>
      <w:r w:rsidRPr="00700BFD">
        <w:tab/>
        <w:t>Intergovernmental Panel on Climate Change. Climate Change 2023: Synthesis Report: IPCC, 2023.</w:t>
      </w:r>
    </w:p>
    <w:p w14:paraId="5F608D00" w14:textId="77777777" w:rsidR="00700BFD" w:rsidRPr="00700BFD" w:rsidRDefault="00700BFD" w:rsidP="006850FA">
      <w:pPr>
        <w:pStyle w:val="EndNoteBibliography"/>
        <w:spacing w:after="0"/>
        <w:ind w:hanging="709"/>
      </w:pPr>
      <w:r w:rsidRPr="00700BFD">
        <w:t>5.</w:t>
      </w:r>
      <w:r w:rsidRPr="00700BFD">
        <w:tab/>
        <w:t xml:space="preserve">Steenmeijer M, Rodrigues J, Zijp M, Waaijers-van der Loop S. The environmental impact of the Dutch health-care sector beyond climate change: an input–output analysis. </w:t>
      </w:r>
      <w:r w:rsidRPr="00700BFD">
        <w:rPr>
          <w:i/>
        </w:rPr>
        <w:t>Lancet Planetary Health</w:t>
      </w:r>
      <w:r w:rsidRPr="00700BFD">
        <w:t xml:space="preserve"> 2022; </w:t>
      </w:r>
      <w:r w:rsidRPr="00700BFD">
        <w:rPr>
          <w:b/>
        </w:rPr>
        <w:t>6</w:t>
      </w:r>
      <w:r w:rsidRPr="00700BFD">
        <w:t>(12): e949-e57.</w:t>
      </w:r>
    </w:p>
    <w:p w14:paraId="42150CD4" w14:textId="77777777" w:rsidR="00700BFD" w:rsidRPr="00700BFD" w:rsidRDefault="00700BFD" w:rsidP="006850FA">
      <w:pPr>
        <w:pStyle w:val="EndNoteBibliography"/>
        <w:spacing w:after="0"/>
        <w:ind w:hanging="709"/>
      </w:pPr>
      <w:r w:rsidRPr="00700BFD">
        <w:t>6.</w:t>
      </w:r>
      <w:r w:rsidRPr="00700BFD">
        <w:tab/>
        <w:t xml:space="preserve">Vestbo J, Press-Kristensen K. Translated impact on carbon footprint from choice of inhaled therapy: a Danish scenario. </w:t>
      </w:r>
      <w:r w:rsidRPr="00700BFD">
        <w:rPr>
          <w:i/>
        </w:rPr>
        <w:t>Eur Respir J</w:t>
      </w:r>
      <w:r w:rsidRPr="00700BFD">
        <w:t xml:space="preserve"> 2023; </w:t>
      </w:r>
      <w:r w:rsidRPr="00700BFD">
        <w:rPr>
          <w:b/>
        </w:rPr>
        <w:t>62</w:t>
      </w:r>
      <w:r w:rsidRPr="00700BFD">
        <w:t>(3).</w:t>
      </w:r>
    </w:p>
    <w:p w14:paraId="7AE02DBA" w14:textId="77777777" w:rsidR="00700BFD" w:rsidRPr="00700BFD" w:rsidRDefault="00700BFD" w:rsidP="006850FA">
      <w:pPr>
        <w:pStyle w:val="EndNoteBibliography"/>
        <w:spacing w:after="0"/>
        <w:ind w:hanging="709"/>
      </w:pPr>
      <w:r w:rsidRPr="00700BFD">
        <w:t>7.</w:t>
      </w:r>
      <w:r w:rsidRPr="00700BFD">
        <w:tab/>
        <w:t>Christiansen H, Baescu O. The Danish National Travel Survey: Annual Statistical Report 2019. Copenhagen: Technical University of Denmark, 2020.</w:t>
      </w:r>
    </w:p>
    <w:p w14:paraId="16F565B7" w14:textId="77777777" w:rsidR="00700BFD" w:rsidRPr="00700BFD" w:rsidRDefault="00700BFD" w:rsidP="006850FA">
      <w:pPr>
        <w:pStyle w:val="EndNoteBibliography"/>
        <w:ind w:hanging="709"/>
      </w:pPr>
      <w:r w:rsidRPr="00700BFD">
        <w:t>8.</w:t>
      </w:r>
      <w:r w:rsidRPr="00700BFD">
        <w:tab/>
        <w:t>Statistics Netherlands. Mobility by mode and purpose. The Hague: CBS, 2016.</w:t>
      </w:r>
    </w:p>
    <w:p w14:paraId="723B1D1E" w14:textId="05472F7C" w:rsidR="00045CCE" w:rsidRPr="000F0CBE" w:rsidRDefault="007B498E" w:rsidP="006850FA">
      <w:pPr>
        <w:spacing w:line="240" w:lineRule="auto"/>
        <w:ind w:left="709" w:hanging="709"/>
        <w:rPr>
          <w:rFonts w:ascii="Times New Roman" w:hAnsi="Times New Roman" w:cs="Times New Roman"/>
          <w:sz w:val="20"/>
          <w:szCs w:val="20"/>
          <w:lang w:val="en-GB"/>
        </w:rPr>
      </w:pPr>
      <w:r>
        <w:rPr>
          <w:rFonts w:ascii="Times New Roman" w:hAnsi="Times New Roman" w:cs="Times New Roman"/>
          <w:sz w:val="20"/>
          <w:szCs w:val="20"/>
          <w:lang w:val="en-GB"/>
        </w:rPr>
        <w:fldChar w:fldCharType="end"/>
      </w:r>
    </w:p>
    <w:sectPr w:rsidR="00045CCE" w:rsidRPr="000F0CBE">
      <w:headerReference w:type="even" r:id="rId14"/>
      <w:headerReference w:type="default" r:id="rId15"/>
      <w:footerReference w:type="even" r:id="rId16"/>
      <w:footerReference w:type="default" r:id="rId17"/>
      <w:headerReference w:type="first" r:id="rId18"/>
      <w:footerReference w:type="first" r:id="rId19"/>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1E9B2C" w14:textId="77777777" w:rsidR="00E665AF" w:rsidRDefault="00E665AF" w:rsidP="009228CB">
      <w:pPr>
        <w:spacing w:after="0" w:line="240" w:lineRule="auto"/>
      </w:pPr>
      <w:r>
        <w:separator/>
      </w:r>
    </w:p>
  </w:endnote>
  <w:endnote w:type="continuationSeparator" w:id="0">
    <w:p w14:paraId="00EF8D8E" w14:textId="77777777" w:rsidR="00E665AF" w:rsidRDefault="00E665AF" w:rsidP="00922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74070" w14:textId="77777777" w:rsidR="005C1450" w:rsidRDefault="005C145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3786309"/>
      <w:docPartObj>
        <w:docPartGallery w:val="Page Numbers (Bottom of Page)"/>
        <w:docPartUnique/>
      </w:docPartObj>
    </w:sdtPr>
    <w:sdtContent>
      <w:p w14:paraId="2B0B27C0" w14:textId="77777777" w:rsidR="00107F6B" w:rsidRDefault="00107F6B" w:rsidP="00A6544F">
        <w:pPr>
          <w:pStyle w:val="Footer"/>
          <w:jc w:val="right"/>
        </w:pPr>
        <w:r>
          <w:fldChar w:fldCharType="begin"/>
        </w:r>
        <w:r>
          <w:instrText>PAGE   \* MERGEFORMAT</w:instrText>
        </w:r>
        <w:r>
          <w:fldChar w:fldCharType="separate"/>
        </w:r>
        <w:r>
          <w:t>2</w:t>
        </w:r>
        <w:r>
          <w:fldChar w:fldCharType="end"/>
        </w:r>
        <w:r>
          <w:t xml:space="preserve"> of </w:t>
        </w:r>
        <w:r w:rsidR="00A6544F">
          <w:t>10</w:t>
        </w:r>
      </w:p>
    </w:sdtContent>
  </w:sdt>
  <w:p w14:paraId="6600C4BE" w14:textId="77777777" w:rsidR="00107F6B" w:rsidRDefault="00107F6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AD631" w14:textId="77777777" w:rsidR="005C1450" w:rsidRDefault="005C14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12828" w14:textId="77777777" w:rsidR="00E665AF" w:rsidRDefault="00E665AF" w:rsidP="009228CB">
      <w:pPr>
        <w:spacing w:after="0" w:line="240" w:lineRule="auto"/>
      </w:pPr>
      <w:r>
        <w:separator/>
      </w:r>
    </w:p>
  </w:footnote>
  <w:footnote w:type="continuationSeparator" w:id="0">
    <w:p w14:paraId="404A9621" w14:textId="77777777" w:rsidR="00E665AF" w:rsidRDefault="00E665AF" w:rsidP="009228C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D3615" w14:textId="77777777" w:rsidR="005C1450" w:rsidRDefault="005C145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64C7E" w14:textId="77777777" w:rsidR="005C1450" w:rsidRDefault="005C14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9D4F7" w14:textId="77777777" w:rsidR="005C1450" w:rsidRDefault="005C14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403FF"/>
    <w:multiLevelType w:val="multilevel"/>
    <w:tmpl w:val="FE246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C04E50"/>
    <w:multiLevelType w:val="hybridMultilevel"/>
    <w:tmpl w:val="19BEEF7C"/>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1A4469DE"/>
    <w:multiLevelType w:val="hybridMultilevel"/>
    <w:tmpl w:val="E6B2D348"/>
    <w:lvl w:ilvl="0" w:tplc="692059B4">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 w15:restartNumberingAfterBreak="0">
    <w:nsid w:val="2A1A5322"/>
    <w:multiLevelType w:val="multilevel"/>
    <w:tmpl w:val="F624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A692E"/>
    <w:multiLevelType w:val="hybridMultilevel"/>
    <w:tmpl w:val="51C0B642"/>
    <w:lvl w:ilvl="0" w:tplc="70D8AEC6">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33AA2C22"/>
    <w:multiLevelType w:val="hybridMultilevel"/>
    <w:tmpl w:val="74F8D64A"/>
    <w:lvl w:ilvl="0" w:tplc="ED16F62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02F7CE3"/>
    <w:multiLevelType w:val="multilevel"/>
    <w:tmpl w:val="DF7A0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605F27"/>
    <w:multiLevelType w:val="hybridMultilevel"/>
    <w:tmpl w:val="F4424D94"/>
    <w:lvl w:ilvl="0" w:tplc="B6E0321E">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472E0632"/>
    <w:multiLevelType w:val="hybridMultilevel"/>
    <w:tmpl w:val="1B000F28"/>
    <w:lvl w:ilvl="0" w:tplc="40349DB8">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62C157AB"/>
    <w:multiLevelType w:val="multilevel"/>
    <w:tmpl w:val="F22C3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554D0F"/>
    <w:multiLevelType w:val="hybridMultilevel"/>
    <w:tmpl w:val="E0302028"/>
    <w:lvl w:ilvl="0" w:tplc="FAD21618">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707F7C86"/>
    <w:multiLevelType w:val="hybridMultilevel"/>
    <w:tmpl w:val="0C7C563C"/>
    <w:lvl w:ilvl="0" w:tplc="3DA2FE78">
      <w:start w:val="1"/>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740C4950"/>
    <w:multiLevelType w:val="multilevel"/>
    <w:tmpl w:val="7B026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236D66"/>
    <w:multiLevelType w:val="multilevel"/>
    <w:tmpl w:val="7C847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396A0A"/>
    <w:multiLevelType w:val="hybridMultilevel"/>
    <w:tmpl w:val="B0D08E84"/>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792B2ABC"/>
    <w:multiLevelType w:val="hybridMultilevel"/>
    <w:tmpl w:val="8CE019CA"/>
    <w:lvl w:ilvl="0" w:tplc="AF74AB3C">
      <w:start w:val="1"/>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7A1A7935"/>
    <w:multiLevelType w:val="hybridMultilevel"/>
    <w:tmpl w:val="7170551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01001744">
    <w:abstractNumId w:val="7"/>
  </w:num>
  <w:num w:numId="2" w16cid:durableId="73432260">
    <w:abstractNumId w:val="16"/>
  </w:num>
  <w:num w:numId="3" w16cid:durableId="2110849529">
    <w:abstractNumId w:val="15"/>
  </w:num>
  <w:num w:numId="4" w16cid:durableId="2048599813">
    <w:abstractNumId w:val="11"/>
  </w:num>
  <w:num w:numId="5" w16cid:durableId="893928673">
    <w:abstractNumId w:val="8"/>
  </w:num>
  <w:num w:numId="6" w16cid:durableId="1257709649">
    <w:abstractNumId w:val="1"/>
  </w:num>
  <w:num w:numId="7" w16cid:durableId="48575337">
    <w:abstractNumId w:val="9"/>
  </w:num>
  <w:num w:numId="8" w16cid:durableId="1469862448">
    <w:abstractNumId w:val="4"/>
  </w:num>
  <w:num w:numId="9" w16cid:durableId="1059476221">
    <w:abstractNumId w:val="14"/>
  </w:num>
  <w:num w:numId="10" w16cid:durableId="1237593218">
    <w:abstractNumId w:val="2"/>
  </w:num>
  <w:num w:numId="11" w16cid:durableId="2133355392">
    <w:abstractNumId w:val="0"/>
  </w:num>
  <w:num w:numId="12" w16cid:durableId="995495389">
    <w:abstractNumId w:val="6"/>
  </w:num>
  <w:num w:numId="13" w16cid:durableId="898782377">
    <w:abstractNumId w:val="3"/>
  </w:num>
  <w:num w:numId="14" w16cid:durableId="182256123">
    <w:abstractNumId w:val="12"/>
  </w:num>
  <w:num w:numId="15" w16cid:durableId="372003688">
    <w:abstractNumId w:val="13"/>
  </w:num>
  <w:num w:numId="16" w16cid:durableId="1090471293">
    <w:abstractNumId w:val="10"/>
  </w:num>
  <w:num w:numId="17" w16cid:durableId="13952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1304"/>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5r2svst3pad9gevvdhvwaf70xpdftwrs0ef&quot;&gt;My EndNote Library&lt;record-ids&gt;&lt;item&gt;13&lt;/item&gt;&lt;item&gt;32&lt;/item&gt;&lt;item&gt;35&lt;/item&gt;&lt;item&gt;48&lt;/item&gt;&lt;item&gt;52&lt;/item&gt;&lt;item&gt;53&lt;/item&gt;&lt;item&gt;58&lt;/item&gt;&lt;item&gt;60&lt;/item&gt;&lt;/record-ids&gt;&lt;/item&gt;&lt;/Libraries&gt;"/>
  </w:docVars>
  <w:rsids>
    <w:rsidRoot w:val="00D35B85"/>
    <w:rsid w:val="0000220D"/>
    <w:rsid w:val="00004B82"/>
    <w:rsid w:val="00004F2E"/>
    <w:rsid w:val="00005FD4"/>
    <w:rsid w:val="00007707"/>
    <w:rsid w:val="00010CC0"/>
    <w:rsid w:val="00013907"/>
    <w:rsid w:val="0001420B"/>
    <w:rsid w:val="00015794"/>
    <w:rsid w:val="00015BBB"/>
    <w:rsid w:val="0001750E"/>
    <w:rsid w:val="00023DED"/>
    <w:rsid w:val="00030280"/>
    <w:rsid w:val="00030C3F"/>
    <w:rsid w:val="000314DF"/>
    <w:rsid w:val="00034E77"/>
    <w:rsid w:val="00040127"/>
    <w:rsid w:val="00041372"/>
    <w:rsid w:val="000416D0"/>
    <w:rsid w:val="00045CCE"/>
    <w:rsid w:val="00057D40"/>
    <w:rsid w:val="00060555"/>
    <w:rsid w:val="00064474"/>
    <w:rsid w:val="000666E5"/>
    <w:rsid w:val="00066759"/>
    <w:rsid w:val="00072595"/>
    <w:rsid w:val="000737F6"/>
    <w:rsid w:val="000808A0"/>
    <w:rsid w:val="00083FAB"/>
    <w:rsid w:val="00083FF6"/>
    <w:rsid w:val="00085A77"/>
    <w:rsid w:val="000870F3"/>
    <w:rsid w:val="000879AF"/>
    <w:rsid w:val="00090CEA"/>
    <w:rsid w:val="0009338A"/>
    <w:rsid w:val="00093F88"/>
    <w:rsid w:val="000954AD"/>
    <w:rsid w:val="000956F2"/>
    <w:rsid w:val="000A0D64"/>
    <w:rsid w:val="000A4F8B"/>
    <w:rsid w:val="000A5517"/>
    <w:rsid w:val="000A5FCD"/>
    <w:rsid w:val="000B41CD"/>
    <w:rsid w:val="000B65DF"/>
    <w:rsid w:val="000B71E1"/>
    <w:rsid w:val="000C2AE6"/>
    <w:rsid w:val="000C3DE7"/>
    <w:rsid w:val="000C6E00"/>
    <w:rsid w:val="000D0C43"/>
    <w:rsid w:val="000D6FF7"/>
    <w:rsid w:val="000D7EE6"/>
    <w:rsid w:val="000E0F4F"/>
    <w:rsid w:val="000E2E13"/>
    <w:rsid w:val="000E34F8"/>
    <w:rsid w:val="000E4FFC"/>
    <w:rsid w:val="000E5C88"/>
    <w:rsid w:val="000F053C"/>
    <w:rsid w:val="000F0A69"/>
    <w:rsid w:val="000F0CBE"/>
    <w:rsid w:val="000F270E"/>
    <w:rsid w:val="000F6D1A"/>
    <w:rsid w:val="00105D60"/>
    <w:rsid w:val="0010622F"/>
    <w:rsid w:val="00107F6B"/>
    <w:rsid w:val="00115236"/>
    <w:rsid w:val="00122498"/>
    <w:rsid w:val="00126035"/>
    <w:rsid w:val="0012771C"/>
    <w:rsid w:val="00130C55"/>
    <w:rsid w:val="00135A35"/>
    <w:rsid w:val="0013600B"/>
    <w:rsid w:val="00141632"/>
    <w:rsid w:val="00141BA8"/>
    <w:rsid w:val="00141C4B"/>
    <w:rsid w:val="00141E69"/>
    <w:rsid w:val="001422F8"/>
    <w:rsid w:val="00147CE0"/>
    <w:rsid w:val="00147EB5"/>
    <w:rsid w:val="0015254D"/>
    <w:rsid w:val="00152DF8"/>
    <w:rsid w:val="00153F30"/>
    <w:rsid w:val="00156225"/>
    <w:rsid w:val="001567AD"/>
    <w:rsid w:val="00157124"/>
    <w:rsid w:val="0016004C"/>
    <w:rsid w:val="00161887"/>
    <w:rsid w:val="001632E2"/>
    <w:rsid w:val="001662E9"/>
    <w:rsid w:val="0016726B"/>
    <w:rsid w:val="001705DA"/>
    <w:rsid w:val="001726B8"/>
    <w:rsid w:val="00176208"/>
    <w:rsid w:val="0018346F"/>
    <w:rsid w:val="0018673E"/>
    <w:rsid w:val="001875C5"/>
    <w:rsid w:val="00190DE3"/>
    <w:rsid w:val="00193D9F"/>
    <w:rsid w:val="00196B7F"/>
    <w:rsid w:val="001A169C"/>
    <w:rsid w:val="001A21E1"/>
    <w:rsid w:val="001A435D"/>
    <w:rsid w:val="001A4380"/>
    <w:rsid w:val="001A57BA"/>
    <w:rsid w:val="001B0BE2"/>
    <w:rsid w:val="001B3499"/>
    <w:rsid w:val="001B6C2A"/>
    <w:rsid w:val="001B722A"/>
    <w:rsid w:val="001B7768"/>
    <w:rsid w:val="001C1600"/>
    <w:rsid w:val="001C2E28"/>
    <w:rsid w:val="001C53C8"/>
    <w:rsid w:val="001D0754"/>
    <w:rsid w:val="001D3FAD"/>
    <w:rsid w:val="001D50C8"/>
    <w:rsid w:val="001D7235"/>
    <w:rsid w:val="001E123C"/>
    <w:rsid w:val="001E2CDD"/>
    <w:rsid w:val="001E3F3F"/>
    <w:rsid w:val="001E771D"/>
    <w:rsid w:val="001F031A"/>
    <w:rsid w:val="001F07C0"/>
    <w:rsid w:val="001F162A"/>
    <w:rsid w:val="00203DC7"/>
    <w:rsid w:val="00205469"/>
    <w:rsid w:val="00205632"/>
    <w:rsid w:val="002057EF"/>
    <w:rsid w:val="002142C2"/>
    <w:rsid w:val="00215510"/>
    <w:rsid w:val="00221B92"/>
    <w:rsid w:val="002245DB"/>
    <w:rsid w:val="00224937"/>
    <w:rsid w:val="002261E0"/>
    <w:rsid w:val="00227E0B"/>
    <w:rsid w:val="0023273C"/>
    <w:rsid w:val="0023324B"/>
    <w:rsid w:val="00234259"/>
    <w:rsid w:val="0024331D"/>
    <w:rsid w:val="002472CE"/>
    <w:rsid w:val="002508E7"/>
    <w:rsid w:val="002531A1"/>
    <w:rsid w:val="00255699"/>
    <w:rsid w:val="00255BAE"/>
    <w:rsid w:val="00260D32"/>
    <w:rsid w:val="0026259F"/>
    <w:rsid w:val="002652ED"/>
    <w:rsid w:val="00266639"/>
    <w:rsid w:val="0026797F"/>
    <w:rsid w:val="0027185F"/>
    <w:rsid w:val="002737B4"/>
    <w:rsid w:val="00281261"/>
    <w:rsid w:val="00282398"/>
    <w:rsid w:val="0028298B"/>
    <w:rsid w:val="0028303F"/>
    <w:rsid w:val="0028372B"/>
    <w:rsid w:val="00290B1A"/>
    <w:rsid w:val="00292A62"/>
    <w:rsid w:val="0029610E"/>
    <w:rsid w:val="002A5A47"/>
    <w:rsid w:val="002B21D5"/>
    <w:rsid w:val="002B32B7"/>
    <w:rsid w:val="002B47D8"/>
    <w:rsid w:val="002B58D0"/>
    <w:rsid w:val="002C2900"/>
    <w:rsid w:val="002C2DDD"/>
    <w:rsid w:val="002C4B91"/>
    <w:rsid w:val="002C4CB5"/>
    <w:rsid w:val="002C4D3E"/>
    <w:rsid w:val="002D6EEB"/>
    <w:rsid w:val="002E0D86"/>
    <w:rsid w:val="002E5E04"/>
    <w:rsid w:val="002E6B7F"/>
    <w:rsid w:val="002F4DD6"/>
    <w:rsid w:val="002F72CB"/>
    <w:rsid w:val="002F7350"/>
    <w:rsid w:val="00301661"/>
    <w:rsid w:val="003019E1"/>
    <w:rsid w:val="00305F52"/>
    <w:rsid w:val="003119A7"/>
    <w:rsid w:val="00312CF4"/>
    <w:rsid w:val="003173D0"/>
    <w:rsid w:val="00317CC3"/>
    <w:rsid w:val="00321C41"/>
    <w:rsid w:val="003225EC"/>
    <w:rsid w:val="00323CD7"/>
    <w:rsid w:val="00326581"/>
    <w:rsid w:val="00326C1B"/>
    <w:rsid w:val="00330DCC"/>
    <w:rsid w:val="00336C63"/>
    <w:rsid w:val="00342908"/>
    <w:rsid w:val="00343E5F"/>
    <w:rsid w:val="00346876"/>
    <w:rsid w:val="00352CFF"/>
    <w:rsid w:val="00354C01"/>
    <w:rsid w:val="00355378"/>
    <w:rsid w:val="0035594B"/>
    <w:rsid w:val="00357809"/>
    <w:rsid w:val="0036008F"/>
    <w:rsid w:val="00366054"/>
    <w:rsid w:val="00366D24"/>
    <w:rsid w:val="00366F38"/>
    <w:rsid w:val="00370782"/>
    <w:rsid w:val="003719B0"/>
    <w:rsid w:val="003732D6"/>
    <w:rsid w:val="003766DF"/>
    <w:rsid w:val="003767F1"/>
    <w:rsid w:val="00376A2A"/>
    <w:rsid w:val="003844D9"/>
    <w:rsid w:val="003937DA"/>
    <w:rsid w:val="003A2E40"/>
    <w:rsid w:val="003A403A"/>
    <w:rsid w:val="003A7C52"/>
    <w:rsid w:val="003B0720"/>
    <w:rsid w:val="003B09F3"/>
    <w:rsid w:val="003B117B"/>
    <w:rsid w:val="003B6F06"/>
    <w:rsid w:val="003C0426"/>
    <w:rsid w:val="003C0BF0"/>
    <w:rsid w:val="003C2BF6"/>
    <w:rsid w:val="003C3811"/>
    <w:rsid w:val="003C3E9D"/>
    <w:rsid w:val="003C491A"/>
    <w:rsid w:val="003C7AAE"/>
    <w:rsid w:val="003D2258"/>
    <w:rsid w:val="003D27C1"/>
    <w:rsid w:val="003D547D"/>
    <w:rsid w:val="003E14F8"/>
    <w:rsid w:val="003E38CE"/>
    <w:rsid w:val="003E4BBB"/>
    <w:rsid w:val="003E7368"/>
    <w:rsid w:val="003F048E"/>
    <w:rsid w:val="003F06BA"/>
    <w:rsid w:val="00400F81"/>
    <w:rsid w:val="0040693E"/>
    <w:rsid w:val="00406F9A"/>
    <w:rsid w:val="0041052D"/>
    <w:rsid w:val="00410CA0"/>
    <w:rsid w:val="0041638B"/>
    <w:rsid w:val="0041749E"/>
    <w:rsid w:val="004254D7"/>
    <w:rsid w:val="00427B23"/>
    <w:rsid w:val="00427B6D"/>
    <w:rsid w:val="004319DB"/>
    <w:rsid w:val="00432385"/>
    <w:rsid w:val="00441367"/>
    <w:rsid w:val="0044700D"/>
    <w:rsid w:val="00447310"/>
    <w:rsid w:val="0045503D"/>
    <w:rsid w:val="00456164"/>
    <w:rsid w:val="00460621"/>
    <w:rsid w:val="00465B09"/>
    <w:rsid w:val="00466C45"/>
    <w:rsid w:val="004745A9"/>
    <w:rsid w:val="0047494A"/>
    <w:rsid w:val="00476290"/>
    <w:rsid w:val="00485662"/>
    <w:rsid w:val="00487DC7"/>
    <w:rsid w:val="00490B03"/>
    <w:rsid w:val="004A04CA"/>
    <w:rsid w:val="004A1FA5"/>
    <w:rsid w:val="004A50BC"/>
    <w:rsid w:val="004B1258"/>
    <w:rsid w:val="004B379B"/>
    <w:rsid w:val="004B392E"/>
    <w:rsid w:val="004B5D42"/>
    <w:rsid w:val="004B6746"/>
    <w:rsid w:val="004C0944"/>
    <w:rsid w:val="004C3130"/>
    <w:rsid w:val="004C3780"/>
    <w:rsid w:val="004C44BF"/>
    <w:rsid w:val="004C508C"/>
    <w:rsid w:val="004C50AD"/>
    <w:rsid w:val="004D0D72"/>
    <w:rsid w:val="004D10CF"/>
    <w:rsid w:val="004D4B12"/>
    <w:rsid w:val="004D5180"/>
    <w:rsid w:val="004D5C7B"/>
    <w:rsid w:val="004D70ED"/>
    <w:rsid w:val="004E1591"/>
    <w:rsid w:val="004E6475"/>
    <w:rsid w:val="00500799"/>
    <w:rsid w:val="005062EE"/>
    <w:rsid w:val="00506EB8"/>
    <w:rsid w:val="005120CC"/>
    <w:rsid w:val="00514104"/>
    <w:rsid w:val="00517B55"/>
    <w:rsid w:val="00520E8F"/>
    <w:rsid w:val="00521DA3"/>
    <w:rsid w:val="0052772D"/>
    <w:rsid w:val="00530ADD"/>
    <w:rsid w:val="00542D69"/>
    <w:rsid w:val="005457DD"/>
    <w:rsid w:val="00545988"/>
    <w:rsid w:val="005521DA"/>
    <w:rsid w:val="00552BF9"/>
    <w:rsid w:val="005536CF"/>
    <w:rsid w:val="005538DA"/>
    <w:rsid w:val="00556D98"/>
    <w:rsid w:val="0056021D"/>
    <w:rsid w:val="005654FD"/>
    <w:rsid w:val="00575879"/>
    <w:rsid w:val="00576779"/>
    <w:rsid w:val="005848D5"/>
    <w:rsid w:val="005869A9"/>
    <w:rsid w:val="00591A45"/>
    <w:rsid w:val="005A0DD7"/>
    <w:rsid w:val="005A2044"/>
    <w:rsid w:val="005A2857"/>
    <w:rsid w:val="005A3935"/>
    <w:rsid w:val="005B0848"/>
    <w:rsid w:val="005B09EF"/>
    <w:rsid w:val="005B119A"/>
    <w:rsid w:val="005B164E"/>
    <w:rsid w:val="005B2E0B"/>
    <w:rsid w:val="005B6C43"/>
    <w:rsid w:val="005C1450"/>
    <w:rsid w:val="005C23C5"/>
    <w:rsid w:val="005C5AE2"/>
    <w:rsid w:val="005C61D4"/>
    <w:rsid w:val="005D02B2"/>
    <w:rsid w:val="005D28BC"/>
    <w:rsid w:val="005D4A62"/>
    <w:rsid w:val="005D4E41"/>
    <w:rsid w:val="005D5A69"/>
    <w:rsid w:val="005E234F"/>
    <w:rsid w:val="005E31B4"/>
    <w:rsid w:val="005E3680"/>
    <w:rsid w:val="005F128F"/>
    <w:rsid w:val="005F2E8F"/>
    <w:rsid w:val="005F369F"/>
    <w:rsid w:val="005F3D28"/>
    <w:rsid w:val="005F5BFB"/>
    <w:rsid w:val="0060154E"/>
    <w:rsid w:val="006035B0"/>
    <w:rsid w:val="0060453D"/>
    <w:rsid w:val="00607811"/>
    <w:rsid w:val="0061143C"/>
    <w:rsid w:val="0061277B"/>
    <w:rsid w:val="00614A3E"/>
    <w:rsid w:val="006224FC"/>
    <w:rsid w:val="00622A11"/>
    <w:rsid w:val="00627B42"/>
    <w:rsid w:val="006315FC"/>
    <w:rsid w:val="00632781"/>
    <w:rsid w:val="006345DE"/>
    <w:rsid w:val="0064403B"/>
    <w:rsid w:val="00653BB3"/>
    <w:rsid w:val="0065560B"/>
    <w:rsid w:val="00655694"/>
    <w:rsid w:val="00657A96"/>
    <w:rsid w:val="00661EAB"/>
    <w:rsid w:val="00665073"/>
    <w:rsid w:val="0067443A"/>
    <w:rsid w:val="006744E5"/>
    <w:rsid w:val="00674723"/>
    <w:rsid w:val="00674C5C"/>
    <w:rsid w:val="0067506A"/>
    <w:rsid w:val="00675CAB"/>
    <w:rsid w:val="00677A5D"/>
    <w:rsid w:val="00677B9C"/>
    <w:rsid w:val="0068006C"/>
    <w:rsid w:val="00682D69"/>
    <w:rsid w:val="00683CD3"/>
    <w:rsid w:val="006850FA"/>
    <w:rsid w:val="0068648E"/>
    <w:rsid w:val="006914A2"/>
    <w:rsid w:val="00692E89"/>
    <w:rsid w:val="006931FF"/>
    <w:rsid w:val="00695145"/>
    <w:rsid w:val="006A38F2"/>
    <w:rsid w:val="006A673E"/>
    <w:rsid w:val="006B1BF6"/>
    <w:rsid w:val="006B4F7A"/>
    <w:rsid w:val="006C3C2D"/>
    <w:rsid w:val="006C5434"/>
    <w:rsid w:val="006C7032"/>
    <w:rsid w:val="006C74AE"/>
    <w:rsid w:val="006D11BE"/>
    <w:rsid w:val="006E27A3"/>
    <w:rsid w:val="006E4119"/>
    <w:rsid w:val="006F0E29"/>
    <w:rsid w:val="006F365D"/>
    <w:rsid w:val="006F398B"/>
    <w:rsid w:val="006F5F2C"/>
    <w:rsid w:val="006F6A8A"/>
    <w:rsid w:val="00700BFD"/>
    <w:rsid w:val="00701950"/>
    <w:rsid w:val="00701DC0"/>
    <w:rsid w:val="00704A71"/>
    <w:rsid w:val="00705DFB"/>
    <w:rsid w:val="0070797A"/>
    <w:rsid w:val="00713508"/>
    <w:rsid w:val="00714F06"/>
    <w:rsid w:val="00715F68"/>
    <w:rsid w:val="007304E5"/>
    <w:rsid w:val="00732424"/>
    <w:rsid w:val="00743B3F"/>
    <w:rsid w:val="00746AA0"/>
    <w:rsid w:val="0074762C"/>
    <w:rsid w:val="007500AE"/>
    <w:rsid w:val="007526D1"/>
    <w:rsid w:val="00753260"/>
    <w:rsid w:val="00753ABA"/>
    <w:rsid w:val="00762819"/>
    <w:rsid w:val="0076764B"/>
    <w:rsid w:val="00773AD5"/>
    <w:rsid w:val="00774074"/>
    <w:rsid w:val="00776EA2"/>
    <w:rsid w:val="0078028F"/>
    <w:rsid w:val="00781C67"/>
    <w:rsid w:val="00782A96"/>
    <w:rsid w:val="00783FA1"/>
    <w:rsid w:val="0078536D"/>
    <w:rsid w:val="00785745"/>
    <w:rsid w:val="00786E66"/>
    <w:rsid w:val="00787DDF"/>
    <w:rsid w:val="00792139"/>
    <w:rsid w:val="007947D1"/>
    <w:rsid w:val="007A0AA5"/>
    <w:rsid w:val="007A39E3"/>
    <w:rsid w:val="007A699B"/>
    <w:rsid w:val="007B498E"/>
    <w:rsid w:val="007B56A4"/>
    <w:rsid w:val="007B67A5"/>
    <w:rsid w:val="007C516B"/>
    <w:rsid w:val="007C5627"/>
    <w:rsid w:val="007C7A2A"/>
    <w:rsid w:val="007D2093"/>
    <w:rsid w:val="007D20DB"/>
    <w:rsid w:val="007E3522"/>
    <w:rsid w:val="007F0775"/>
    <w:rsid w:val="007F4A5C"/>
    <w:rsid w:val="007F4ADA"/>
    <w:rsid w:val="007F573C"/>
    <w:rsid w:val="00805962"/>
    <w:rsid w:val="008065FB"/>
    <w:rsid w:val="008146C8"/>
    <w:rsid w:val="00814837"/>
    <w:rsid w:val="008168D8"/>
    <w:rsid w:val="00816A1D"/>
    <w:rsid w:val="00817BE2"/>
    <w:rsid w:val="008262E8"/>
    <w:rsid w:val="00826F59"/>
    <w:rsid w:val="0083219E"/>
    <w:rsid w:val="00840A3C"/>
    <w:rsid w:val="00841106"/>
    <w:rsid w:val="00843420"/>
    <w:rsid w:val="00845555"/>
    <w:rsid w:val="00845AB3"/>
    <w:rsid w:val="0085668A"/>
    <w:rsid w:val="00856950"/>
    <w:rsid w:val="00857469"/>
    <w:rsid w:val="008646EF"/>
    <w:rsid w:val="00866A0C"/>
    <w:rsid w:val="00872A66"/>
    <w:rsid w:val="008835E2"/>
    <w:rsid w:val="00883852"/>
    <w:rsid w:val="00896845"/>
    <w:rsid w:val="00897C79"/>
    <w:rsid w:val="008A454E"/>
    <w:rsid w:val="008B01D8"/>
    <w:rsid w:val="008C0342"/>
    <w:rsid w:val="008C04C9"/>
    <w:rsid w:val="008C1348"/>
    <w:rsid w:val="008C3A0B"/>
    <w:rsid w:val="008D2E29"/>
    <w:rsid w:val="008D4715"/>
    <w:rsid w:val="008D6536"/>
    <w:rsid w:val="008D73A0"/>
    <w:rsid w:val="008D752E"/>
    <w:rsid w:val="008E0287"/>
    <w:rsid w:val="008E041B"/>
    <w:rsid w:val="008E775D"/>
    <w:rsid w:val="008F1772"/>
    <w:rsid w:val="008F7C19"/>
    <w:rsid w:val="009110D8"/>
    <w:rsid w:val="00911234"/>
    <w:rsid w:val="00916BBA"/>
    <w:rsid w:val="009212CD"/>
    <w:rsid w:val="009221B6"/>
    <w:rsid w:val="00922449"/>
    <w:rsid w:val="00922477"/>
    <w:rsid w:val="009228CB"/>
    <w:rsid w:val="00924552"/>
    <w:rsid w:val="00925FA7"/>
    <w:rsid w:val="00937AC4"/>
    <w:rsid w:val="00946369"/>
    <w:rsid w:val="00946986"/>
    <w:rsid w:val="00962036"/>
    <w:rsid w:val="0096690B"/>
    <w:rsid w:val="00967A8B"/>
    <w:rsid w:val="00967B82"/>
    <w:rsid w:val="00980913"/>
    <w:rsid w:val="00981A64"/>
    <w:rsid w:val="00994794"/>
    <w:rsid w:val="00996DC1"/>
    <w:rsid w:val="00997203"/>
    <w:rsid w:val="009A3B66"/>
    <w:rsid w:val="009A6C2C"/>
    <w:rsid w:val="009A6CF4"/>
    <w:rsid w:val="009A77E2"/>
    <w:rsid w:val="009B2DF6"/>
    <w:rsid w:val="009B319B"/>
    <w:rsid w:val="009B5C56"/>
    <w:rsid w:val="009C4E40"/>
    <w:rsid w:val="009C5F75"/>
    <w:rsid w:val="009D25EA"/>
    <w:rsid w:val="009D5856"/>
    <w:rsid w:val="009D76CC"/>
    <w:rsid w:val="009E49E4"/>
    <w:rsid w:val="009E6028"/>
    <w:rsid w:val="009E6671"/>
    <w:rsid w:val="009F2618"/>
    <w:rsid w:val="009F33F7"/>
    <w:rsid w:val="009F4723"/>
    <w:rsid w:val="009F5807"/>
    <w:rsid w:val="00A00B1D"/>
    <w:rsid w:val="00A048B3"/>
    <w:rsid w:val="00A13244"/>
    <w:rsid w:val="00A24298"/>
    <w:rsid w:val="00A27B24"/>
    <w:rsid w:val="00A3164C"/>
    <w:rsid w:val="00A36A4E"/>
    <w:rsid w:val="00A36F5C"/>
    <w:rsid w:val="00A370B2"/>
    <w:rsid w:val="00A3737C"/>
    <w:rsid w:val="00A42155"/>
    <w:rsid w:val="00A42CD3"/>
    <w:rsid w:val="00A46176"/>
    <w:rsid w:val="00A477E8"/>
    <w:rsid w:val="00A47F35"/>
    <w:rsid w:val="00A55224"/>
    <w:rsid w:val="00A56064"/>
    <w:rsid w:val="00A56A2B"/>
    <w:rsid w:val="00A6047B"/>
    <w:rsid w:val="00A61B41"/>
    <w:rsid w:val="00A6544F"/>
    <w:rsid w:val="00A67B1C"/>
    <w:rsid w:val="00A707BC"/>
    <w:rsid w:val="00A71731"/>
    <w:rsid w:val="00A732DC"/>
    <w:rsid w:val="00A73FCA"/>
    <w:rsid w:val="00A75987"/>
    <w:rsid w:val="00A76FD1"/>
    <w:rsid w:val="00A81877"/>
    <w:rsid w:val="00A81FE2"/>
    <w:rsid w:val="00A82ACA"/>
    <w:rsid w:val="00A85ACF"/>
    <w:rsid w:val="00A91535"/>
    <w:rsid w:val="00A92998"/>
    <w:rsid w:val="00A929D5"/>
    <w:rsid w:val="00A94CFE"/>
    <w:rsid w:val="00AA2D00"/>
    <w:rsid w:val="00AA306E"/>
    <w:rsid w:val="00AA34EC"/>
    <w:rsid w:val="00AA3F0C"/>
    <w:rsid w:val="00AB44F6"/>
    <w:rsid w:val="00AB48C6"/>
    <w:rsid w:val="00AB517F"/>
    <w:rsid w:val="00AC278B"/>
    <w:rsid w:val="00AC758A"/>
    <w:rsid w:val="00AD1723"/>
    <w:rsid w:val="00AE04BC"/>
    <w:rsid w:val="00AE4AF4"/>
    <w:rsid w:val="00AE6D8A"/>
    <w:rsid w:val="00AF2DBA"/>
    <w:rsid w:val="00B000F2"/>
    <w:rsid w:val="00B00592"/>
    <w:rsid w:val="00B04490"/>
    <w:rsid w:val="00B1251A"/>
    <w:rsid w:val="00B14535"/>
    <w:rsid w:val="00B20652"/>
    <w:rsid w:val="00B24B31"/>
    <w:rsid w:val="00B30FA9"/>
    <w:rsid w:val="00B33C64"/>
    <w:rsid w:val="00B36DC9"/>
    <w:rsid w:val="00B5007C"/>
    <w:rsid w:val="00B51C5E"/>
    <w:rsid w:val="00B52B5E"/>
    <w:rsid w:val="00B54CA1"/>
    <w:rsid w:val="00B5775B"/>
    <w:rsid w:val="00B57CEF"/>
    <w:rsid w:val="00B703A5"/>
    <w:rsid w:val="00B75D45"/>
    <w:rsid w:val="00B80754"/>
    <w:rsid w:val="00B827CB"/>
    <w:rsid w:val="00B83DFD"/>
    <w:rsid w:val="00B8516F"/>
    <w:rsid w:val="00B871B0"/>
    <w:rsid w:val="00B87538"/>
    <w:rsid w:val="00B92B65"/>
    <w:rsid w:val="00B96BE6"/>
    <w:rsid w:val="00BA1EF4"/>
    <w:rsid w:val="00BA2A08"/>
    <w:rsid w:val="00BA7F1E"/>
    <w:rsid w:val="00BB022B"/>
    <w:rsid w:val="00BB1A5A"/>
    <w:rsid w:val="00BB2FDC"/>
    <w:rsid w:val="00BC3DDB"/>
    <w:rsid w:val="00BC446F"/>
    <w:rsid w:val="00BC4BF9"/>
    <w:rsid w:val="00BC5BE9"/>
    <w:rsid w:val="00BC7205"/>
    <w:rsid w:val="00BD30A6"/>
    <w:rsid w:val="00BD59AD"/>
    <w:rsid w:val="00BD5D6E"/>
    <w:rsid w:val="00BE335A"/>
    <w:rsid w:val="00BE4F68"/>
    <w:rsid w:val="00BE74BC"/>
    <w:rsid w:val="00BF15DA"/>
    <w:rsid w:val="00BF288B"/>
    <w:rsid w:val="00BF3292"/>
    <w:rsid w:val="00BF6132"/>
    <w:rsid w:val="00C01889"/>
    <w:rsid w:val="00C019A4"/>
    <w:rsid w:val="00C04E7C"/>
    <w:rsid w:val="00C07499"/>
    <w:rsid w:val="00C21D78"/>
    <w:rsid w:val="00C266E7"/>
    <w:rsid w:val="00C33008"/>
    <w:rsid w:val="00C3442B"/>
    <w:rsid w:val="00C35B81"/>
    <w:rsid w:val="00C4043D"/>
    <w:rsid w:val="00C40AF2"/>
    <w:rsid w:val="00C57321"/>
    <w:rsid w:val="00C60769"/>
    <w:rsid w:val="00C63694"/>
    <w:rsid w:val="00C65D0A"/>
    <w:rsid w:val="00C65F34"/>
    <w:rsid w:val="00C72ABC"/>
    <w:rsid w:val="00C72FA4"/>
    <w:rsid w:val="00C7636D"/>
    <w:rsid w:val="00C7766D"/>
    <w:rsid w:val="00C81AED"/>
    <w:rsid w:val="00C8419F"/>
    <w:rsid w:val="00C85072"/>
    <w:rsid w:val="00C86D64"/>
    <w:rsid w:val="00C87740"/>
    <w:rsid w:val="00C9500B"/>
    <w:rsid w:val="00CA1125"/>
    <w:rsid w:val="00CA356D"/>
    <w:rsid w:val="00CA6195"/>
    <w:rsid w:val="00CA6FFE"/>
    <w:rsid w:val="00CA7CCB"/>
    <w:rsid w:val="00CC26C9"/>
    <w:rsid w:val="00CC3188"/>
    <w:rsid w:val="00CD3766"/>
    <w:rsid w:val="00CD6656"/>
    <w:rsid w:val="00CD68DA"/>
    <w:rsid w:val="00CD7FE7"/>
    <w:rsid w:val="00CE6CD7"/>
    <w:rsid w:val="00CF2C05"/>
    <w:rsid w:val="00CF428E"/>
    <w:rsid w:val="00CF4858"/>
    <w:rsid w:val="00CF6376"/>
    <w:rsid w:val="00CF7489"/>
    <w:rsid w:val="00D0193E"/>
    <w:rsid w:val="00D01DA7"/>
    <w:rsid w:val="00D032A9"/>
    <w:rsid w:val="00D07EB1"/>
    <w:rsid w:val="00D16B5C"/>
    <w:rsid w:val="00D2041A"/>
    <w:rsid w:val="00D20881"/>
    <w:rsid w:val="00D22A46"/>
    <w:rsid w:val="00D268E9"/>
    <w:rsid w:val="00D26CB0"/>
    <w:rsid w:val="00D27FE9"/>
    <w:rsid w:val="00D34990"/>
    <w:rsid w:val="00D35B85"/>
    <w:rsid w:val="00D35D6F"/>
    <w:rsid w:val="00D3713F"/>
    <w:rsid w:val="00D402D6"/>
    <w:rsid w:val="00D416F9"/>
    <w:rsid w:val="00D475E7"/>
    <w:rsid w:val="00D47F5D"/>
    <w:rsid w:val="00D5636F"/>
    <w:rsid w:val="00D62630"/>
    <w:rsid w:val="00D66309"/>
    <w:rsid w:val="00D710FD"/>
    <w:rsid w:val="00D80662"/>
    <w:rsid w:val="00D81147"/>
    <w:rsid w:val="00D82722"/>
    <w:rsid w:val="00D86F08"/>
    <w:rsid w:val="00D90BEC"/>
    <w:rsid w:val="00D917DB"/>
    <w:rsid w:val="00D92A66"/>
    <w:rsid w:val="00D9536D"/>
    <w:rsid w:val="00D95707"/>
    <w:rsid w:val="00DA1FA7"/>
    <w:rsid w:val="00DA32DB"/>
    <w:rsid w:val="00DA3A1A"/>
    <w:rsid w:val="00DB3938"/>
    <w:rsid w:val="00DB63A9"/>
    <w:rsid w:val="00DB6E74"/>
    <w:rsid w:val="00DB7A70"/>
    <w:rsid w:val="00DC0D4F"/>
    <w:rsid w:val="00DC5EC3"/>
    <w:rsid w:val="00DD0FF5"/>
    <w:rsid w:val="00DD19B0"/>
    <w:rsid w:val="00DD755D"/>
    <w:rsid w:val="00DE1F3F"/>
    <w:rsid w:val="00DF0A0C"/>
    <w:rsid w:val="00DF3BFC"/>
    <w:rsid w:val="00DF4191"/>
    <w:rsid w:val="00DF6E05"/>
    <w:rsid w:val="00DF7BE7"/>
    <w:rsid w:val="00E00695"/>
    <w:rsid w:val="00E016B8"/>
    <w:rsid w:val="00E0305B"/>
    <w:rsid w:val="00E07ED4"/>
    <w:rsid w:val="00E11073"/>
    <w:rsid w:val="00E110F8"/>
    <w:rsid w:val="00E11EA6"/>
    <w:rsid w:val="00E12D2C"/>
    <w:rsid w:val="00E135CA"/>
    <w:rsid w:val="00E1483C"/>
    <w:rsid w:val="00E148D1"/>
    <w:rsid w:val="00E16CDF"/>
    <w:rsid w:val="00E20869"/>
    <w:rsid w:val="00E224BC"/>
    <w:rsid w:val="00E233A6"/>
    <w:rsid w:val="00E23EBB"/>
    <w:rsid w:val="00E3071D"/>
    <w:rsid w:val="00E317A8"/>
    <w:rsid w:val="00E31BA8"/>
    <w:rsid w:val="00E33278"/>
    <w:rsid w:val="00E33329"/>
    <w:rsid w:val="00E43E49"/>
    <w:rsid w:val="00E44792"/>
    <w:rsid w:val="00E4585B"/>
    <w:rsid w:val="00E45AFE"/>
    <w:rsid w:val="00E50B60"/>
    <w:rsid w:val="00E54927"/>
    <w:rsid w:val="00E60BFF"/>
    <w:rsid w:val="00E62AD9"/>
    <w:rsid w:val="00E63F47"/>
    <w:rsid w:val="00E665AF"/>
    <w:rsid w:val="00E71BE6"/>
    <w:rsid w:val="00E73744"/>
    <w:rsid w:val="00E75F39"/>
    <w:rsid w:val="00E81848"/>
    <w:rsid w:val="00E8376F"/>
    <w:rsid w:val="00E87711"/>
    <w:rsid w:val="00E87B6E"/>
    <w:rsid w:val="00E87D23"/>
    <w:rsid w:val="00E90A86"/>
    <w:rsid w:val="00E90B29"/>
    <w:rsid w:val="00E96CB7"/>
    <w:rsid w:val="00EB25B5"/>
    <w:rsid w:val="00EB402E"/>
    <w:rsid w:val="00EC2E1A"/>
    <w:rsid w:val="00EC4114"/>
    <w:rsid w:val="00ED06F2"/>
    <w:rsid w:val="00ED6EAD"/>
    <w:rsid w:val="00ED7FB5"/>
    <w:rsid w:val="00EE1BD3"/>
    <w:rsid w:val="00EE1F71"/>
    <w:rsid w:val="00EE486D"/>
    <w:rsid w:val="00EE78A2"/>
    <w:rsid w:val="00EF3AF5"/>
    <w:rsid w:val="00EF60E3"/>
    <w:rsid w:val="00EF781E"/>
    <w:rsid w:val="00F001BE"/>
    <w:rsid w:val="00F01AFC"/>
    <w:rsid w:val="00F05670"/>
    <w:rsid w:val="00F07F83"/>
    <w:rsid w:val="00F1484F"/>
    <w:rsid w:val="00F31B30"/>
    <w:rsid w:val="00F320E7"/>
    <w:rsid w:val="00F43DF4"/>
    <w:rsid w:val="00F50374"/>
    <w:rsid w:val="00F55D2C"/>
    <w:rsid w:val="00F60E3B"/>
    <w:rsid w:val="00F7165C"/>
    <w:rsid w:val="00F754DB"/>
    <w:rsid w:val="00F76B1A"/>
    <w:rsid w:val="00F77E32"/>
    <w:rsid w:val="00F82CB9"/>
    <w:rsid w:val="00F871CF"/>
    <w:rsid w:val="00F90C68"/>
    <w:rsid w:val="00FA0134"/>
    <w:rsid w:val="00FA1EC1"/>
    <w:rsid w:val="00FA2148"/>
    <w:rsid w:val="00FA3B3F"/>
    <w:rsid w:val="00FB0F99"/>
    <w:rsid w:val="00FB1A4F"/>
    <w:rsid w:val="00FB7766"/>
    <w:rsid w:val="00FC13F0"/>
    <w:rsid w:val="00FC16C8"/>
    <w:rsid w:val="00FC181A"/>
    <w:rsid w:val="00FC522F"/>
    <w:rsid w:val="00FC624C"/>
    <w:rsid w:val="00FD10E8"/>
    <w:rsid w:val="00FD13C6"/>
    <w:rsid w:val="00FD1C61"/>
    <w:rsid w:val="00FD51B4"/>
    <w:rsid w:val="00FD5B7F"/>
    <w:rsid w:val="00FE082A"/>
    <w:rsid w:val="00FE2E08"/>
    <w:rsid w:val="00FE6FAD"/>
    <w:rsid w:val="00FE7BB8"/>
    <w:rsid w:val="00FF282D"/>
    <w:rsid w:val="00FF689D"/>
    <w:rsid w:val="01A5E70C"/>
    <w:rsid w:val="04EF72C7"/>
    <w:rsid w:val="12D9C3B8"/>
    <w:rsid w:val="3273CC35"/>
    <w:rsid w:val="5426F84D"/>
    <w:rsid w:val="5C798F79"/>
    <w:rsid w:val="63112A4A"/>
    <w:rsid w:val="65D719C3"/>
    <w:rsid w:val="687067D2"/>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75294C"/>
  <w15:chartTrackingRefBased/>
  <w15:docId w15:val="{B270BFCD-E986-4FAF-A39E-71FC80ABB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D5C7B"/>
    <w:pPr>
      <w:ind w:left="720"/>
      <w:contextualSpacing/>
    </w:pPr>
  </w:style>
  <w:style w:type="character" w:styleId="Hyperlink">
    <w:name w:val="Hyperlink"/>
    <w:basedOn w:val="DefaultParagraphFont"/>
    <w:uiPriority w:val="99"/>
    <w:unhideWhenUsed/>
    <w:rsid w:val="00692E89"/>
    <w:rPr>
      <w:color w:val="0563C1" w:themeColor="hyperlink"/>
      <w:u w:val="single"/>
    </w:rPr>
  </w:style>
  <w:style w:type="character" w:styleId="UnresolvedMention">
    <w:name w:val="Unresolved Mention"/>
    <w:basedOn w:val="DefaultParagraphFont"/>
    <w:uiPriority w:val="99"/>
    <w:semiHidden/>
    <w:unhideWhenUsed/>
    <w:rsid w:val="006224FC"/>
    <w:rPr>
      <w:color w:val="605E5C"/>
      <w:shd w:val="clear" w:color="auto" w:fill="E1DFDD"/>
    </w:rPr>
  </w:style>
  <w:style w:type="character" w:styleId="PlaceholderText">
    <w:name w:val="Placeholder Text"/>
    <w:basedOn w:val="DefaultParagraphFont"/>
    <w:uiPriority w:val="99"/>
    <w:semiHidden/>
    <w:rsid w:val="006931FF"/>
    <w:rPr>
      <w:color w:val="666666"/>
    </w:rPr>
  </w:style>
  <w:style w:type="paragraph" w:styleId="Header">
    <w:name w:val="header"/>
    <w:basedOn w:val="Normal"/>
    <w:link w:val="HeaderChar"/>
    <w:uiPriority w:val="99"/>
    <w:unhideWhenUsed/>
    <w:rsid w:val="009228CB"/>
    <w:pPr>
      <w:tabs>
        <w:tab w:val="center" w:pos="4819"/>
        <w:tab w:val="right" w:pos="9638"/>
      </w:tabs>
      <w:spacing w:after="0" w:line="240" w:lineRule="auto"/>
    </w:pPr>
  </w:style>
  <w:style w:type="character" w:customStyle="1" w:styleId="HeaderChar">
    <w:name w:val="Header Char"/>
    <w:basedOn w:val="DefaultParagraphFont"/>
    <w:link w:val="Header"/>
    <w:uiPriority w:val="99"/>
    <w:rsid w:val="009228CB"/>
  </w:style>
  <w:style w:type="paragraph" w:styleId="Footer">
    <w:name w:val="footer"/>
    <w:basedOn w:val="Normal"/>
    <w:link w:val="FooterChar"/>
    <w:uiPriority w:val="99"/>
    <w:unhideWhenUsed/>
    <w:rsid w:val="009228CB"/>
    <w:pPr>
      <w:tabs>
        <w:tab w:val="center" w:pos="4819"/>
        <w:tab w:val="right" w:pos="9638"/>
      </w:tabs>
      <w:spacing w:after="0" w:line="240" w:lineRule="auto"/>
    </w:pPr>
  </w:style>
  <w:style w:type="character" w:customStyle="1" w:styleId="FooterChar">
    <w:name w:val="Footer Char"/>
    <w:basedOn w:val="DefaultParagraphFont"/>
    <w:link w:val="Footer"/>
    <w:uiPriority w:val="99"/>
    <w:rsid w:val="009228CB"/>
  </w:style>
  <w:style w:type="character" w:styleId="CommentReference">
    <w:name w:val="annotation reference"/>
    <w:basedOn w:val="DefaultParagraphFont"/>
    <w:uiPriority w:val="99"/>
    <w:semiHidden/>
    <w:unhideWhenUsed/>
    <w:rsid w:val="00490B03"/>
    <w:rPr>
      <w:sz w:val="16"/>
      <w:szCs w:val="16"/>
    </w:rPr>
  </w:style>
  <w:style w:type="paragraph" w:styleId="CommentText">
    <w:name w:val="annotation text"/>
    <w:basedOn w:val="Normal"/>
    <w:link w:val="CommentTextChar"/>
    <w:uiPriority w:val="99"/>
    <w:unhideWhenUsed/>
    <w:rsid w:val="00490B03"/>
    <w:pPr>
      <w:spacing w:after="0" w:line="240" w:lineRule="auto"/>
    </w:pPr>
    <w:rPr>
      <w:rFonts w:ascii="Times New Roman" w:hAnsi="Times New Roman"/>
      <w:color w:val="000000" w:themeColor="text1"/>
      <w:sz w:val="20"/>
      <w:szCs w:val="20"/>
      <w:lang w:val="en-GB"/>
    </w:rPr>
  </w:style>
  <w:style w:type="character" w:customStyle="1" w:styleId="CommentTextChar">
    <w:name w:val="Comment Text Char"/>
    <w:basedOn w:val="DefaultParagraphFont"/>
    <w:link w:val="CommentText"/>
    <w:uiPriority w:val="99"/>
    <w:rsid w:val="00490B03"/>
    <w:rPr>
      <w:rFonts w:ascii="Times New Roman" w:hAnsi="Times New Roman"/>
      <w:color w:val="000000" w:themeColor="text1"/>
      <w:sz w:val="20"/>
      <w:szCs w:val="20"/>
      <w:lang w:val="en-GB"/>
    </w:rPr>
  </w:style>
  <w:style w:type="paragraph" w:customStyle="1" w:styleId="EndNoteBibliographyTitle">
    <w:name w:val="EndNote Bibliography Title"/>
    <w:basedOn w:val="Normal"/>
    <w:link w:val="EndNoteBibliographyTitleChar"/>
    <w:rsid w:val="007B498E"/>
    <w:pPr>
      <w:spacing w:after="0"/>
      <w:jc w:val="center"/>
    </w:pPr>
    <w:rPr>
      <w:rFonts w:ascii="Calibri" w:hAnsi="Calibri" w:cs="Calibri"/>
      <w:noProof/>
      <w:lang w:val="en-US"/>
    </w:rPr>
  </w:style>
  <w:style w:type="character" w:customStyle="1" w:styleId="EndNoteBibliographyTitleChar">
    <w:name w:val="EndNote Bibliography Title Char"/>
    <w:basedOn w:val="DefaultParagraphFont"/>
    <w:link w:val="EndNoteBibliographyTitle"/>
    <w:rsid w:val="007B498E"/>
    <w:rPr>
      <w:rFonts w:ascii="Calibri" w:hAnsi="Calibri" w:cs="Calibri"/>
      <w:noProof/>
      <w:lang w:val="en-US"/>
    </w:rPr>
  </w:style>
  <w:style w:type="paragraph" w:customStyle="1" w:styleId="EndNoteBibliography">
    <w:name w:val="EndNote Bibliography"/>
    <w:basedOn w:val="Normal"/>
    <w:link w:val="EndNoteBibliographyChar"/>
    <w:rsid w:val="007B498E"/>
    <w:pPr>
      <w:spacing w:line="240" w:lineRule="auto"/>
    </w:pPr>
    <w:rPr>
      <w:rFonts w:ascii="Calibri" w:hAnsi="Calibri" w:cs="Calibri"/>
      <w:noProof/>
      <w:lang w:val="en-US"/>
    </w:rPr>
  </w:style>
  <w:style w:type="character" w:customStyle="1" w:styleId="EndNoteBibliographyChar">
    <w:name w:val="EndNote Bibliography Char"/>
    <w:basedOn w:val="DefaultParagraphFont"/>
    <w:link w:val="EndNoteBibliography"/>
    <w:rsid w:val="007B498E"/>
    <w:rPr>
      <w:rFonts w:ascii="Calibri" w:hAnsi="Calibri" w:cs="Calibri"/>
      <w:noProof/>
      <w:lang w:val="en-US"/>
    </w:rPr>
  </w:style>
  <w:style w:type="table" w:styleId="TableGrid">
    <w:name w:val="Table Grid"/>
    <w:basedOn w:val="TableNormal"/>
    <w:uiPriority w:val="39"/>
    <w:rsid w:val="00A929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0059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0059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doi.org/10.5281/zenodo.21493995"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42BAABD6925F494496B934A5144B3566" ma:contentTypeVersion="13" ma:contentTypeDescription="Opret et nyt dokument." ma:contentTypeScope="" ma:versionID="e6ab1a30b4a8c43d2c2c68365e0be335">
  <xsd:schema xmlns:xsd="http://www.w3.org/2001/XMLSchema" xmlns:xs="http://www.w3.org/2001/XMLSchema" xmlns:p="http://schemas.microsoft.com/office/2006/metadata/properties" xmlns:ns2="17bcbdd8-5dc2-42bc-880f-f8ab9f4152c3" xmlns:ns3="82c9e6dd-94a6-418d-b42f-1c863545706c" targetNamespace="http://schemas.microsoft.com/office/2006/metadata/properties" ma:root="true" ma:fieldsID="33a891c59702ee43da36c1f61649cd94" ns2:_="" ns3:_="">
    <xsd:import namespace="17bcbdd8-5dc2-42bc-880f-f8ab9f4152c3"/>
    <xsd:import namespace="82c9e6dd-94a6-418d-b42f-1c863545706c"/>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ObjectDetectorVersions" minOccurs="0"/>
                <xsd:element ref="ns2:MediaServiceSearchPropertie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cbdd8-5dc2-42bc-880f-f8ab9f4152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ledmærker" ma:readOnly="false" ma:fieldId="{5cf76f15-5ced-4ddc-b409-7134ff3c332f}" ma:taxonomyMulti="true" ma:sspId="f9553f63-5966-4a09-978d-72b299aea11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2c9e6dd-94a6-418d-b42f-1c863545706c"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5423819c-cdba-41b3-97a5-0a026353a98e}" ma:internalName="TaxCatchAll" ma:showField="CatchAllData" ma:web="82c9e6dd-94a6-418d-b42f-1c863545706c">
      <xsd:complexType>
        <xsd:complexContent>
          <xsd:extension base="dms:MultiChoiceLookup">
            <xsd:sequence>
              <xsd:element name="Value" type="dms:Lookup" maxOccurs="unbounded" minOccurs="0" nillable="true"/>
            </xsd:sequence>
          </xsd:extension>
        </xsd:complexContent>
      </xsd:complexType>
    </xsd:element>
    <xsd:element name="SharedWithUsers" ma:index="16"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lt med detaljer"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7bcbdd8-5dc2-42bc-880f-f8ab9f4152c3">
      <Terms xmlns="http://schemas.microsoft.com/office/infopath/2007/PartnerControls"/>
    </lcf76f155ced4ddcb4097134ff3c332f>
    <TaxCatchAll xmlns="82c9e6dd-94a6-418d-b42f-1c863545706c" xsi:nil="true"/>
  </documentManagement>
</p:properties>
</file>

<file path=customXml/item4.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FAED4C52-1EB7-4324-ADEE-C6A930FFD76A}">
  <ds:schemaRefs>
    <ds:schemaRef ds:uri="http://schemas.microsoft.com/sharepoint/v3/contenttype/forms"/>
  </ds:schemaRefs>
</ds:datastoreItem>
</file>

<file path=customXml/itemProps2.xml><?xml version="1.0" encoding="utf-8"?>
<ds:datastoreItem xmlns:ds="http://schemas.openxmlformats.org/officeDocument/2006/customXml" ds:itemID="{C945D5B1-C8CF-4485-819F-FA757BD0F6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cbdd8-5dc2-42bc-880f-f8ab9f4152c3"/>
    <ds:schemaRef ds:uri="82c9e6dd-94a6-418d-b42f-1c86354570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D642F5B-CE81-45F6-B8D4-2CA73B1F27FB}">
  <ds:schemaRefs>
    <ds:schemaRef ds:uri="http://schemas.microsoft.com/office/2006/metadata/properties"/>
    <ds:schemaRef ds:uri="http://schemas.microsoft.com/office/infopath/2007/PartnerControls"/>
    <ds:schemaRef ds:uri="17bcbdd8-5dc2-42bc-880f-f8ab9f4152c3"/>
    <ds:schemaRef ds:uri="82c9e6dd-94a6-418d-b42f-1c863545706c"/>
  </ds:schemaRefs>
</ds:datastoreItem>
</file>

<file path=customXml/itemProps4.xml><?xml version="1.0" encoding="utf-8"?>
<ds:datastoreItem xmlns:ds="http://schemas.openxmlformats.org/officeDocument/2006/customXml" ds:itemID="{3183CA31-28E6-4B9A-A745-89C6C06EC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10</Pages>
  <Words>4815</Words>
  <Characters>29372</Characters>
  <Application>Microsoft Office Word</Application>
  <DocSecurity>0</DocSecurity>
  <Lines>244</Lines>
  <Paragraphs>68</Paragraphs>
  <ScaleCrop>false</ScaleCrop>
  <Company>SDU</Company>
  <LinksUpToDate>false</LinksUpToDate>
  <CharactersWithSpaces>34119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Ofir Eriksen</dc:creator>
  <cp:keywords/>
  <dc:description/>
  <cp:lastModifiedBy>Ofir Eriksen</cp:lastModifiedBy>
  <cp:revision>23</cp:revision>
  <dcterms:created xsi:type="dcterms:W3CDTF">2026-06-19T07:54:00Z</dcterms:created>
  <dcterms:modified xsi:type="dcterms:W3CDTF">2026-08-11T10:09:00Z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0x01010042BAABD6925F494496B934A5144B3566</vt:lpwstr>
  </property>
  <property fmtid="{D5CDD505-2E9C-101B-9397-08002B2CF9AE}" pid="3" name="MediaServiceImageTags">
    <vt:lpwstr/>
  </property>
</Properties>
</file>