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uncertainty interval 3,675 to 5,029 kilotonnes),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(Appendix A, Eqs. (A.14) and (A.15)), with the covariance of the two travel terms reported separately. Modelling decisions rather than measurement errors (the pharmaceutical mapping,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and the background model).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 (Appendix A, Gross fixed capital formation, Eq. (A.18)).</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uncertainty interval 3,675 to 5,029 kt),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The supply chains of commuting and patient and visitor travel, which the per-kilometre inventory quantifies without a country of production (6.7% of the climate footprint), are not assigned to a region.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The EXIOBASE </w:t>
      </w:r>
      <w:del w:id="51209" w:author="Albert Kwame Osei-Owusu" w:date="2026-09-14T16:00:00Z">
        <w:r>
          <w:rPr/>
          <w:delText xml:space="preserve">“other”</w:delText>
        </w:r>
      </w:del>
      <w:ins w:id="51210" w:author="Albert Kwame Osei-Owusu" w:date="2026-09-14T16:00:00Z">
        <w:r>
          <w:rPr/>
          <w:t xml:space="preserve">‘other’</w:t>
        </w:r>
      </w:ins>
      <w:r>
        <w:rPr/>
        <w:t xml:space="preserve"> category was disaggregated to distinguish transport activities.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 2; every region by producing sector group in Appendix A, Fig. A.6);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 </w:t>
      </w:r>
      <w:del w:id="51224" w:author="Albert Kwame Osei-Owusu" w:date="2026-09-14T16:00:00Z">
        <w:r>
          <w:delText xml:space="preserve">Thirdly,</w:delText>
        </w:r>
      </w:del>
      <w:ins w:id="51225" w:author="Albert Kwame Osei-Owusu" w:date="2026-09-14T16:00:00Z">
        <w:r>
          <w:t xml:space="preserve">Third,</w:t>
        </w:r>
      </w:ins>
      <w:r>
        <w:t xml:space="preserve"> and in the opposite direction, Denmark is a relatively wealthy country. Together, these factors suggest that </w:t>
      </w:r>
      <w:del w:id="51218" w:author="Albert Kwame Osei-Owusu" w:date="2026-09-14T16:00:00Z">
        <w:r>
          <w:delText xml:space="preserve">Denmark’s footprint</w:delText>
        </w:r>
      </w:del>
      <w:ins w:id="51219" w:author="Albert Kwame Osei-Owusu" w:date="2026-09-14T16:00:00Z">
        <w:r>
          <w:t xml:space="preserve">Denmark's footprint</w:t>
        </w:r>
      </w:ins>
      <w:r>
        <w:t xml:space="preserve">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w:t>
      </w:r>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health care still buys almost as much from transport as from chemicals, but at about half the emission intensity (Appendix A, Table A.5).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(Fig. A.9)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(Appendix A, Gross fixed capital formation). Distribution margins on medicines and appliances are charged at the intensity of the Danish trade industries; charging them at the manufacturing intensity, as a whole-column mapping does, would raise the climate footprint by 11.5% (Appendix A, Valuation and distribution margins).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(Appendix A, Figs. A.13 and A.15).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 The study identifies where impacts arise and does not estimate the mitigation potential of specific interventions; testing them, including their effects on the other four impact categories, requires scenario modelling that we leave to further work.</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Both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