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7E912DAF"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556965A6"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4FFC88DD"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5151770B"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7AACB3CD"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3668DB31"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1F20BB39"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6A353D7C"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123262" w:author="Albert Kwame Osei-Owusu" w:date="2026-10-21T20:00:00Z"/>
        </w:trPr>
        <w:tc>
          <w:tcPr>
            <w:tcW w:w="2100" w:type="dxa"/>
          </w:tcPr>
          <w:p w14:paraId="313529D0"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3998263D"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59AFBD3C"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(Appendix A).</w:t>
              </w:r>
            </w:ins>
          </w:p>
        </w:tc>
      </w:tr>
      <w:tr>
        <w:trPr>
          <w:cantSplit/>
          <w:ins w:id="123269" w:author="Albert Kwame Osei-Owusu" w:date="2026-10-21T20:00:00Z"/>
        </w:trPr>
        <w:tc>
          <w:tcPr>
            <w:tcW w:w="2100" w:type="dxa"/>
          </w:tcPr>
          <w:p w14:paraId="24C442D8"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1DA52A4E"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5E50F2B5"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123276" w:author="Albert Kwame Osei-Owusu" w:date="2026-10-21T20:00:00Z"/>
        </w:trPr>
        <w:tc>
          <w:tcPr>
            <w:tcW w:w="2100" w:type="dxa"/>
          </w:tcPr>
          <w:p w14:paraId="6EA8264E"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50F03FAA"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16B0F943"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(Appendix A, Sensitivity).</w:t>
              </w:r>
            </w:ins>
          </w:p>
        </w:tc>
      </w:tr>
      <w:tr>
        <w:trPr>
          <w:cantSplit/>
          <w:ins w:id="123283" w:author="Albert Kwame Osei-Owusu" w:date="2026-10-21T20:00:00Z"/>
        </w:trPr>
        <w:tc>
          <w:tcPr>
            <w:tcW w:w="2100" w:type="dxa"/>
          </w:tcPr>
          <w:p w14:paraId="7AFEF80F"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6E4D443E"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4AF291BA"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7CB66384"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6B61143E"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4E15F55C"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15D908D2"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312198CA"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5EDEEC9D"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6B24DCE6"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57EE44A6"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209DFA4B"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3F61C390"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2423795F"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4F8D1714"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1646CA40"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1B8D2189"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18609F18"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60EC1489"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1AD036C7"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5764F61A"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173935F6"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2E1723B9"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2F7498CB"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37412FAB"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325A7A9B"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12246498"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18935268"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454DF00A" w14:textId="77777777">
            <w:pPr>
              <w:pStyle w:val="TableText"/>
              <w:rPr>
                <w:ins w:id="123349" w:author="Albert Kwame Osei-Owusu" w:date="2026-10-21T20:00:00Z"/>
              </w:rPr>
            </w:pPr>
            <w:ins w:id="123350" w:author="Albert Kwame Osei-Owusu" w:date="2026-10-21T20:00:00Z">
              <w:r>
                <w:t xml:space="preserve">Excluded; Södersten and colleagues and Wood and Södersten for one of the variants</w:t>
              </w:r>
            </w:ins>
          </w:p>
        </w:tc>
        <w:tc>
          <w:tcPr>
            <w:tcW w:w="4438" w:type="dxa"/>
          </w:tcPr>
          <w:p w14:paraId="78E64A96"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(Appendix A).</w:t>
              </w:r>
            </w:ins>
          </w:p>
        </w:tc>
      </w:tr>
    </w:tbl>
    <w:p w14:paraId="1E5EC337"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may capture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rebuild of EXIOBASE made consistent with one country’s national accounts,</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w:t>
        </w:r>
        <w:r>
          <w:rPr>
            <w:rFonts w:ascii="Times New Roman" w:hAnsi="Times New Roman" w:cs="Times New Roman"/>
            <w:sz w:val="20"/>
            <w:szCs w:val="20"/>
            <w:lang w:val="en-GB"/>
          </w:rPr>
          <w:t xml:space="preserve">The pharmaceuticals and chemical products group also carries more than pharmaceuticals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of its 27.1% of the climate footprint, medicines bought as goods account for 20.1%, plastics and other chemicals bought by the health services for 6.7%, and inhaler propellants for 0.3%.</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3.5 million euros on Chemicals n.e.c., 0.04% of its purchases,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Re-weighting the Danish column to the national medicines share is reported as a sensitivity case, and we keep the headline on the published column because the national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identifies the missing share but not the emission intensity of medicines, so the correction is bounded, between 7.8% below and 32.1% above the headline, rather than identified</w:t>
        </w:r>
        <w:r>
          <w:rPr>
            <w:rFonts w:ascii="Times New Roman" w:hAnsi="Times New Roman" w:cs="Times New Roman"/>
            <w:sz w:val="20"/>
            <w:szCs w:val="20"/>
            <w:lang w:val="en-GB"/>
          </w:rPr>
          <w:t xml:space="preserv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below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one.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The remaining choices, the sea-transport target share within its plausible range, the valuation of distribution margins, the GWP revision and the correlation between the travel terms, move the climate footprint by less than 12%, and three of the four by less than 4%.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498176D6"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6AE4BBD7"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3AA645DD"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32A8E5BD"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245AB490"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329C8440"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435C1F82"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19FBF9CC"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5D09660B"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641880C6"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46BDC9DA"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4E43F8DB"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4B0CF760"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20017C0C"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16216281"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1F59FA11"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4B7C0385"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24E76525"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1F3420EC"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7E4B049E"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59DE983D"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118D5204"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36E0AC9C"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6AE2FF6C"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euros.</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Mt.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 Statistics Denmark’s AFTRYK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5AB18717"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6940FD52"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6C03B883"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6108BA69"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15C5B375"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1A9D88F6"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199C116F"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50857685"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48E322CD"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76BDDA62"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6EEED6AB"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5C8AC16F"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3B30920A"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7752A94F"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7A94832E"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200BA98E"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34156EC5"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27097700"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57CBA6C5"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42983E21"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583B7CD4"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6734D998"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76069037"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27C9724A"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478F3E12"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4174EA0F"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60BFCB50"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55A728E3"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1285BD5B"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263B5418" w14:textId="77777777">
            <w:pPr>
              <w:pStyle w:val="TableText"/>
              <w:rPr>
                <w:ins w:id="123154" w:author="Albert Kwame Osei-Owusu" w:date="2026-10-21T20:00:00Z"/>
              </w:rPr>
            </w:pPr>
            <w:ins w:id="123155" w:author="Albert Kwame Osei-Owusu" w:date="2026-10-21T20:00:00Z">
              <w:r>
                <w:t xml:space="preserve">4,758</w:t>
              </w:r>
            </w:ins>
          </w:p>
        </w:tc>
        <w:tc>
          <w:tcPr>
            <w:tcW w:w="1300" w:type="dxa"/>
          </w:tcPr>
          <w:p w14:paraId="29CCC64E" w14:textId="77777777">
            <w:pPr>
              <w:pStyle w:val="TableText"/>
              <w:rPr>
                <w:ins w:id="123156" w:author="Albert Kwame Osei-Owusu" w:date="2026-10-21T20:00:00Z"/>
              </w:rPr>
            </w:pPr>
            <w:ins w:id="123157" w:author="Albert Kwame Osei-Owusu" w:date="2026-10-21T20:00:00Z">
              <w:r>
                <w:t xml:space="preserve">+11.5</w:t>
              </w:r>
            </w:ins>
          </w:p>
        </w:tc>
      </w:tr>
      <w:tr>
        <w:trPr>
          <w:cantSplit/>
          <w:ins w:id="123158" w:author="Albert Kwame Osei-Owusu" w:date="2026-10-21T20:00:00Z"/>
        </w:trPr>
        <w:tc>
          <w:tcPr>
            <w:tcW w:w="2200" w:type="dxa"/>
          </w:tcPr>
          <w:p w14:paraId="5A66D707"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2C0265DF"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64D4CC1C"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2D1ADAED" w14:textId="77777777">
            <w:pPr>
              <w:pStyle w:val="TableText"/>
              <w:rPr>
                <w:ins w:id="123165" w:author="Albert Kwame Osei-Owusu" w:date="2026-10-21T20:00:00Z"/>
              </w:rPr>
            </w:pPr>
            <w:ins w:id="123166" w:author="Albert Kwame Osei-Owusu" w:date="2026-10-21T20:00:00Z">
              <w:r>
                <w:t xml:space="preserve">−0.5 to +3.0</w:t>
              </w:r>
            </w:ins>
          </w:p>
        </w:tc>
      </w:tr>
      <w:tr>
        <w:trPr>
          <w:cantSplit/>
          <w:ins w:id="123167" w:author="Albert Kwame Osei-Owusu" w:date="2026-10-21T20:00:00Z"/>
        </w:trPr>
        <w:tc>
          <w:tcPr>
            <w:tcW w:w="2200" w:type="dxa"/>
          </w:tcPr>
          <w:p w14:paraId="4FE053E0"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762F5D8C"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3283EF50"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5CBD066A"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5E97A4B2"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1077CA9F"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24555FDD"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159B4CD7"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23F5D069"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7AC7EBC5"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2D1AAC57"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3D16B48B"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1021FF8B"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591156D2"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2068D7AC"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32696C9E"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45607F77"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779BA69E"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1C49C150"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30221DA2"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3FE3ACA9"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50845655"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523A41B6"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1CE7646A"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4F98CE6B"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770D18AB"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2836CC69"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6E347ECB"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3196EC62"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4BC44547"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24C235A6"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4A7164E2" w14:textId="77777777">
            <w:pPr>
              <w:pStyle w:val="TableText"/>
              <w:rPr>
                <w:ins w:id="123237" w:author="Albert Kwame Osei-Owusu" w:date="2026-10-21T20:00:00Z"/>
              </w:rPr>
            </w:pPr>
            <w:ins w:id="123238" w:author="Albert Kwame Osei-Owusu" w:date="2026-10-21T20:00:00Z">
              <w:r>
                <w:t xml:space="preserve">Interval only</w:t>
              </w:r>
            </w:ins>
          </w:p>
        </w:tc>
      </w:tr>
    </w:tbl>
    <w:p w14:paraId="57E246AB"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20E076A3"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20F0F8A0"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2026-10-21T23:49:14Z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