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bidi/>
      </w:pPr>
      <w:r>
        <w:rPr>
          <w:rFonts w:ascii="Calibri" w:hAnsi="Calibri" w:cs="Arial"/>
          <w:b/>
          <w:i w:val="0"/>
          <w:color w:val="172B4D"/>
          <w:sz w:val="36"/>
        </w:rPr>
        <w:t>תחום התמחות של מפתחי GitHub מתוך רשת מעקב הדדית</w:t>
      </w:r>
    </w:p>
    <w:p>
      <w:pPr>
        <w:spacing w:after="40"/>
        <w:jc w:val="center"/>
        <w:bidi/>
      </w:pPr>
      <w:r>
        <w:rPr>
          <w:rFonts w:ascii="Calibri" w:hAnsi="Calibri" w:cs="Arial"/>
          <w:b/>
          <w:i w:val="0"/>
          <w:color w:val="315C8D"/>
          <w:sz w:val="21"/>
        </w:rPr>
        <w:t>פרויקט גמר — אלגוריתמים ברשתות</w:t>
      </w:r>
    </w:p>
    <w:p>
      <w:pPr>
        <w:spacing w:after="100"/>
        <w:jc w:val="center"/>
        <w:bidi/>
      </w:pPr>
      <w:r>
        <w:rPr>
          <w:rFonts w:ascii="Calibri" w:hAnsi="Calibri" w:cs="Arial"/>
          <w:b w:val="0"/>
          <w:i w:val="0"/>
          <w:color w:val="5F6B7A"/>
          <w:sz w:val="17"/>
        </w:rPr>
        <w:t>נועה ירין לוי (208101196) · ג'ימי חלאוי (208301176) · אופיר אטיאס (211446935) | מרצה: ד"ר אבנר פריאל</w:t>
      </w:r>
    </w:p>
    <w:p>
      <w:pPr>
        <w:pStyle w:val="Heading1"/>
        <w:jc w:val="right"/>
        <w:bidi/>
      </w:pPr>
      <w:r>
        <w:rPr>
          <w:rFonts w:ascii="Calibri" w:hAnsi="Calibri" w:cs="Arial"/>
          <w:b/>
          <w:i w:val="0"/>
          <w:color w:val="315C8D"/>
          <w:sz w:val="27"/>
        </w:rPr>
        <w:t>תקציר</w:t>
      </w:r>
    </w:p>
    <w:p>
      <w:pPr>
        <w:spacing w:after="60"/>
        <w:jc w:val="right"/>
        <w:keepNext w:val="0"/>
        <w:bidi/>
      </w:pPr>
      <w:r>
        <w:rPr>
          <w:rFonts w:ascii="Calibri" w:hAnsi="Calibri" w:cs="Arial"/>
          <w:b w:val="0"/>
          <w:i w:val="0"/>
          <w:color w:val="000000"/>
          <w:sz w:val="18"/>
        </w:rPr>
        <w:t>העבודה מנתחת רשת לא־מכוונת של 37,700 מפתחי GitHub ו־289,003 קשרי מעקב הדדיים, ובוחנת ארבע שאלות: סיווג תחום מקצועי מתוך מבנה הרשת, ערך הרשת מול תוכן, שחזור קשתות שהוסתרו ומובהקות מבנית מול מודלי אפס. כל הניסויים חוזרים בחמש חלוקות קבועות; תוויות הבדיקה אינן משמשות בחישוב מאפיינים או בכיול. שיעור הקשתות התוך־תחומיות הוא 84.5%. המודל החזק בסיווג הידני הגיע ל־AUC 0.869; DeepWalk ו־Node2Vec הגיעו ל־0.891 ו־0.890. בשחזור קשתות, Preferential Attachment הוביל עם AUC 0.924. התוצאות מתוארות כקשרים חיזויים בתנאי הניסוי ואינן מוכיחות סיבתיות.</w:t>
      </w:r>
    </w:p>
    <w:p>
      <w:pPr>
        <w:pStyle w:val="Heading1"/>
        <w:jc w:val="right"/>
        <w:bidi/>
      </w:pPr>
      <w:r>
        <w:rPr>
          <w:rFonts w:ascii="Calibri" w:hAnsi="Calibri" w:cs="Arial"/>
          <w:b/>
          <w:i w:val="0"/>
          <w:color w:val="315C8D"/>
          <w:sz w:val="27"/>
        </w:rPr>
        <w:t>שאלות המחקר</w:t>
      </w:r>
    </w:p>
    <w:p>
      <w:pPr>
        <w:spacing w:after="30"/>
        <w:jc w:val="right"/>
        <w:keepNext w:val="0"/>
        <w:bidi/>
      </w:pPr>
      <w:r>
        <w:rPr>
          <w:rFonts w:ascii="Calibri" w:hAnsi="Calibri" w:cs="Arial"/>
          <w:b w:val="0"/>
          <w:i w:val="0"/>
          <w:color w:val="000000"/>
          <w:sz w:val="17"/>
        </w:rPr>
        <w:t>RQ1: באיזו מידה שכנות, מרכזיות, קהילות וייצוגים נלמדים מאפשרים לסווג את תחום המפתח ללא תוויות test?</w:t>
      </w:r>
    </w:p>
    <w:p>
      <w:pPr>
        <w:spacing w:after="30"/>
        <w:jc w:val="right"/>
        <w:keepNext w:val="0"/>
        <w:bidi/>
      </w:pPr>
      <w:r>
        <w:rPr>
          <w:rFonts w:ascii="Calibri" w:hAnsi="Calibri" w:cs="Arial"/>
          <w:b w:val="0"/>
          <w:i w:val="0"/>
          <w:color w:val="000000"/>
          <w:sz w:val="17"/>
        </w:rPr>
        <w:t>RQ2: מהו הערך השולי של מבנה הרשת מול מאפייני תוכן, ומה מוסיף שילובם?</w:t>
      </w:r>
    </w:p>
    <w:p>
      <w:pPr>
        <w:spacing w:after="30"/>
        <w:jc w:val="right"/>
        <w:keepNext w:val="0"/>
        <w:bidi/>
      </w:pPr>
      <w:r>
        <w:rPr>
          <w:rFonts w:ascii="Calibri" w:hAnsi="Calibri" w:cs="Arial"/>
          <w:b w:val="0"/>
          <w:i w:val="0"/>
          <w:color w:val="000000"/>
          <w:sz w:val="17"/>
        </w:rPr>
        <w:t>RQ3: האם ניתן לשחזר קשתות מעקב שהוסתרו אקראית, והאם קשתות תוך־תחומיות קלות יותר לשחזור מקשתות בין־תחומיות?</w:t>
      </w:r>
    </w:p>
    <w:p>
      <w:pPr>
        <w:spacing w:after="30"/>
        <w:jc w:val="right"/>
        <w:keepNext w:val="0"/>
        <w:bidi/>
      </w:pPr>
      <w:r>
        <w:rPr>
          <w:rFonts w:ascii="Calibri" w:hAnsi="Calibri" w:cs="Arial"/>
          <w:b w:val="0"/>
          <w:i w:val="0"/>
          <w:color w:val="000000"/>
          <w:sz w:val="17"/>
        </w:rPr>
        <w:t>RQ4: האם ההומופיליה והמודולריות חריגות מול מודלי אפס, ואילו מאפיינים משחזרים מודלי ER, BA, Small-World ו־Configuration?</w:t>
      </w:r>
    </w:p>
    <w:p>
      <w:pPr>
        <w:pStyle w:val="Heading1"/>
        <w:jc w:val="right"/>
        <w:bidi/>
      </w:pPr>
      <w:r>
        <w:rPr>
          <w:rFonts w:ascii="Calibri" w:hAnsi="Calibri" w:cs="Arial"/>
          <w:b/>
          <w:i w:val="0"/>
          <w:color w:val="315C8D"/>
          <w:sz w:val="27"/>
        </w:rPr>
        <w:t>הנתונים והיקף הניתוח</w:t>
      </w:r>
    </w:p>
    <w:tbl>
      <w:tblPr>
        <w:tblStyle w:val="TableGrid"/>
        <w:tblW w:type="dxa" w:w="10440"/>
        <w:jc w:val="center"/>
        <w:tblLayout w:type="fixed"/>
        <w:tblLook w:firstColumn="1" w:firstRow="1" w:lastColumn="0" w:lastRow="0" w:noHBand="0" w:noVBand="1" w:val="04A0"/>
        <w:tblInd w:w="100" w:type="dxa"/>
      </w:tblPr>
      <w:tblGrid>
        <w:gridCol w:w="1500"/>
        <w:gridCol w:w="1500"/>
        <w:gridCol w:w="1800"/>
        <w:gridCol w:w="1600"/>
        <w:gridCol w:w="1800"/>
        <w:gridCol w:w="2240"/>
      </w:tblGrid>
      <w:tr>
        <w:trPr>
          <w:tblHeader w:val="true"/>
          <w:cantSplit/>
        </w:trPr>
        <w:tc>
          <w:tcPr>
            <w:tcW w:type="dxa" w:w="15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צמתים</w:t>
            </w:r>
          </w:p>
        </w:tc>
        <w:tc>
          <w:tcPr>
            <w:tcW w:type="dxa" w:w="15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קשתות</w:t>
            </w:r>
          </w:p>
        </w:tc>
        <w:tc>
          <w:tcPr>
            <w:tcW w:type="dxa" w:w="18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דרגה ממוצעת</w:t>
            </w:r>
          </w:p>
        </w:tc>
        <w:tc>
          <w:tcPr>
            <w:tcW w:type="dxa" w:w="16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צפיפות</w:t>
            </w:r>
          </w:p>
        </w:tc>
        <w:tc>
          <w:tcPr>
            <w:tcW w:type="dxa" w:w="18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רכיבי קשירות</w:t>
            </w:r>
          </w:p>
        </w:tc>
        <w:tc>
          <w:tcPr>
            <w:tcW w:type="dxa" w:w="224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תוויות חסרות</w:t>
            </w:r>
          </w:p>
        </w:tc>
      </w:tr>
      <w:tr>
        <w:trPr>
          <w:cantSplit/>
        </w:trPr>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37,700</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289,003</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15.332</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0.000407</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1</w:t>
            </w:r>
          </w:p>
        </w:tc>
        <w:tc>
          <w:tcPr>
            <w:tcW w:type="dxa" w:w="22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w:t>
            </w:r>
          </w:p>
        </w:tc>
      </w:tr>
    </w:tbl>
    <w:p>
      <w:pPr>
        <w:spacing w:after="20"/>
      </w:pPr>
    </w:p>
    <w:p>
      <w:r>
        <w:br w:type="page"/>
      </w:r>
    </w:p>
    <w:p>
      <w:pPr>
        <w:pStyle w:val="Heading1"/>
        <w:jc w:val="right"/>
        <w:bidi/>
      </w:pPr>
      <w:r>
        <w:rPr>
          <w:rFonts w:ascii="Calibri" w:hAnsi="Calibri" w:cs="Arial"/>
          <w:b/>
          <w:i w:val="0"/>
          <w:color w:val="315C8D"/>
          <w:sz w:val="27"/>
        </w:rPr>
        <w:t>1. מסגרת מתודולוגית ושיטות</w:t>
      </w:r>
    </w:p>
    <w:p>
      <w:pPr>
        <w:spacing w:after="60"/>
        <w:jc w:val="right"/>
        <w:keepNext w:val="0"/>
        <w:bidi/>
      </w:pPr>
      <w:r>
        <w:rPr>
          <w:rFonts w:ascii="Calibri" w:hAnsi="Calibri" w:cs="Arial"/>
          <w:b w:val="0"/>
          <w:i w:val="0"/>
          <w:color w:val="000000"/>
          <w:sz w:val="18"/>
        </w:rPr>
        <w:t>בסיווג הצמתים מבנה הגרף גלוי לכל הצמתים (transductive), אך תוויות test מוסתרות. מאפייני שכנים וקהילה מחושבים מתוויות train בלבד. בכל seed מתבצעת חלוקה מרובדת 70/30; כיול סף משתמש ב־validation פנימי מתוך train.</w:t>
      </w:r>
    </w:p>
    <w:p>
      <w:pPr>
        <w:pStyle w:val="Heading2"/>
        <w:jc w:val="right"/>
        <w:bidi/>
      </w:pPr>
      <w:r>
        <w:rPr>
          <w:rFonts w:ascii="Calibri" w:hAnsi="Calibri" w:cs="Arial"/>
          <w:b/>
          <w:i w:val="0"/>
          <w:color w:val="315C8D"/>
          <w:sz w:val="22"/>
        </w:rPr>
        <w:t>ניתוח הרשת</w:t>
      </w:r>
    </w:p>
    <w:p>
      <w:pPr>
        <w:spacing w:after="60"/>
        <w:jc w:val="right"/>
        <w:keepNext w:val="0"/>
        <w:bidi/>
      </w:pPr>
      <w:r>
        <w:rPr>
          <w:rFonts w:ascii="Calibri" w:hAnsi="Calibri" w:cs="Arial"/>
          <w:b w:val="0"/>
          <w:i w:val="0"/>
          <w:color w:val="000000"/>
          <w:sz w:val="18"/>
        </w:rPr>
        <w:t>נמדדו Degree Centrality, Clustering Coefficient, PageRank, Betweenness בקירוב, HITS Hub יחיד, Louvain ומודולריות. התפלגות הדרגות נבחנה בזהירות באמצעות התאמת Power Law והשוואה ללוג־נורמלית ולמעריכית. הרשת הושוותה ל־ER, BA, Watts-Strogatz ולגרף משמר־דרגות.</w:t>
      </w:r>
    </w:p>
    <w:p>
      <w:pPr>
        <w:pStyle w:val="Heading2"/>
        <w:jc w:val="right"/>
        <w:bidi/>
      </w:pPr>
      <w:r>
        <w:rPr>
          <w:rFonts w:ascii="Calibri" w:hAnsi="Calibri" w:cs="Arial"/>
          <w:b/>
          <w:i w:val="0"/>
          <w:color w:val="315C8D"/>
          <w:sz w:val="22"/>
        </w:rPr>
        <w:t>מודלי בסיס ופיצ'רים ידניים</w:t>
      </w:r>
    </w:p>
    <w:tbl>
      <w:tblPr>
        <w:tblStyle w:val="TableGrid"/>
        <w:tblW w:type="dxa" w:w="10440"/>
        <w:jc w:val="center"/>
        <w:tblLayout w:type="fixed"/>
        <w:tblLook w:firstColumn="1" w:firstRow="1" w:lastColumn="0" w:lastRow="0" w:noHBand="0" w:noVBand="1" w:val="04A0"/>
        <w:tblInd w:w="100" w:type="dxa"/>
      </w:tblPr>
      <w:tblGrid>
        <w:gridCol w:w="3200"/>
        <w:gridCol w:w="3200"/>
        <w:gridCol w:w="4040"/>
      </w:tblGrid>
      <w:tr>
        <w:trPr>
          <w:tblHeader w:val="true"/>
          <w:cantSplit/>
        </w:trPr>
        <w:tc>
          <w:tcPr>
            <w:tcW w:type="dxa" w:w="32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מודל</w:t>
            </w:r>
          </w:p>
        </w:tc>
        <w:tc>
          <w:tcPr>
            <w:tcW w:type="dxa" w:w="32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קלט</w:t>
            </w:r>
          </w:p>
        </w:tc>
        <w:tc>
          <w:tcPr>
            <w:tcW w:type="dxa" w:w="404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מטרת ההשוואה</w:t>
            </w:r>
          </w:p>
        </w:tc>
      </w:tr>
      <w:tr>
        <w:trPr>
          <w:cantSplit/>
        </w:trPr>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Majority Baseline</w:t>
            </w:r>
          </w:p>
        </w:tc>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שכיחות train</w:t>
            </w:r>
          </w:p>
        </w:tc>
        <w:tc>
          <w:tcPr>
            <w:tcW w:type="dxa" w:w="40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קו בסיס ללא מבנה</w:t>
            </w:r>
          </w:p>
        </w:tc>
      </w:tr>
      <w:tr>
        <w:trPr>
          <w:cantSplit/>
        </w:trPr>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Neighbor Majority</w:t>
            </w:r>
          </w:p>
        </w:tc>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תוויות שכני train</w:t>
            </w:r>
          </w:p>
        </w:tc>
        <w:tc>
          <w:tcPr>
            <w:tcW w:type="dxa" w:w="40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אות שכונתי מקומי</w:t>
            </w:r>
          </w:p>
        </w:tc>
      </w:tr>
      <w:tr>
        <w:trPr>
          <w:cantSplit/>
        </w:trPr>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LogReg Graph</w:t>
            </w:r>
          </w:p>
        </w:tc>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מרכזיות ומבנה</w:t>
            </w:r>
          </w:p>
        </w:tc>
        <w:tc>
          <w:tcPr>
            <w:tcW w:type="dxa" w:w="40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פיצ'רים ידניים</w:t>
            </w:r>
          </w:p>
        </w:tc>
      </w:tr>
      <w:tr>
        <w:trPr>
          <w:cantSplit/>
        </w:trPr>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LogReg Graph + Community</w:t>
            </w:r>
          </w:p>
        </w:tc>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מבנה וקהילה</w:t>
            </w:r>
          </w:p>
        </w:tc>
        <w:tc>
          <w:tcPr>
            <w:tcW w:type="dxa" w:w="40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ערך קהילה מעבר למבנה</w:t>
            </w:r>
          </w:p>
        </w:tc>
      </w:tr>
    </w:tbl>
    <w:p>
      <w:pPr>
        <w:spacing w:after="20"/>
      </w:pPr>
    </w:p>
    <w:p>
      <w:pPr>
        <w:pStyle w:val="Heading2"/>
        <w:jc w:val="right"/>
        <w:bidi/>
      </w:pPr>
      <w:r>
        <w:rPr>
          <w:rFonts w:ascii="Calibri" w:hAnsi="Calibri" w:cs="Arial"/>
          <w:b/>
          <w:i w:val="0"/>
          <w:color w:val="315C8D"/>
          <w:sz w:val="22"/>
        </w:rPr>
        <w:t>ייצוגים נלמדים ומודלי תוכן</w:t>
      </w:r>
    </w:p>
    <w:tbl>
      <w:tblPr>
        <w:tblStyle w:val="TableGrid"/>
        <w:tblW w:type="dxa" w:w="10440"/>
        <w:jc w:val="center"/>
        <w:tblLayout w:type="fixed"/>
        <w:tblLook w:firstColumn="1" w:firstRow="1" w:lastColumn="0" w:lastRow="0" w:noHBand="0" w:noVBand="1" w:val="04A0"/>
        <w:tblInd w:w="100" w:type="dxa"/>
      </w:tblPr>
      <w:tblGrid>
        <w:gridCol w:w="3200"/>
        <w:gridCol w:w="3200"/>
        <w:gridCol w:w="4040"/>
      </w:tblGrid>
      <w:tr>
        <w:trPr>
          <w:tblHeader w:val="true"/>
          <w:cantSplit/>
        </w:trPr>
        <w:tc>
          <w:tcPr>
            <w:tcW w:type="dxa" w:w="32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מודל</w:t>
            </w:r>
          </w:p>
        </w:tc>
        <w:tc>
          <w:tcPr>
            <w:tcW w:type="dxa" w:w="32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קלט</w:t>
            </w:r>
          </w:p>
        </w:tc>
        <w:tc>
          <w:tcPr>
            <w:tcW w:type="dxa" w:w="404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תפקיד</w:t>
            </w:r>
          </w:p>
        </w:tc>
      </w:tr>
      <w:tr>
        <w:trPr>
          <w:cantSplit/>
        </w:trPr>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Content</w:t>
            </w:r>
          </w:p>
        </w:tc>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מאפייני MUSAE</w:t>
            </w:r>
          </w:p>
        </w:tc>
        <w:tc>
          <w:tcPr>
            <w:tcW w:type="dxa" w:w="40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נקודת ייחוס ללא רשת</w:t>
            </w:r>
          </w:p>
        </w:tc>
      </w:tr>
      <w:tr>
        <w:trPr>
          <w:cantSplit/>
        </w:trPr>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Hybrid</w:t>
            </w:r>
          </w:p>
        </w:tc>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רשת + תוכן</w:t>
            </w:r>
          </w:p>
        </w:tc>
        <w:tc>
          <w:tcPr>
            <w:tcW w:type="dxa" w:w="40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מידע משלים</w:t>
            </w:r>
          </w:p>
        </w:tc>
      </w:tr>
      <w:tr>
        <w:trPr>
          <w:cantSplit/>
        </w:trPr>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DeepWalk</w:t>
            </w:r>
          </w:p>
        </w:tc>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הילוכים אחידים</w:t>
            </w:r>
          </w:p>
        </w:tc>
        <w:tc>
          <w:tcPr>
            <w:tcW w:type="dxa" w:w="40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ייצוג מבני נלמד</w:t>
            </w:r>
          </w:p>
        </w:tc>
      </w:tr>
      <w:tr>
        <w:trPr>
          <w:cantSplit/>
        </w:trPr>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DeepWalk + ידני</w:t>
            </w:r>
          </w:p>
        </w:tc>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הטמעה + מבנה/קהילה</w:t>
            </w:r>
          </w:p>
        </w:tc>
        <w:tc>
          <w:tcPr>
            <w:tcW w:type="dxa" w:w="40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שילוב ייצוגים</w:t>
            </w:r>
          </w:p>
        </w:tc>
      </w:tr>
      <w:tr>
        <w:trPr>
          <w:cantSplit/>
        </w:trPr>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Node2Vec</w:t>
            </w:r>
          </w:p>
        </w:tc>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הילוכים מוטים</w:t>
            </w:r>
          </w:p>
        </w:tc>
        <w:tc>
          <w:tcPr>
            <w:tcW w:type="dxa" w:w="40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ייצוג מבני נלמד</w:t>
            </w:r>
          </w:p>
        </w:tc>
      </w:tr>
      <w:tr>
        <w:trPr>
          <w:cantSplit/>
        </w:trPr>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Node2Vec + ידני</w:t>
            </w:r>
          </w:p>
        </w:tc>
        <w:tc>
          <w:tcPr>
            <w:tcW w:type="dxa" w:w="32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הטמעה + מבנה/קהילה</w:t>
            </w:r>
          </w:p>
        </w:tc>
        <w:tc>
          <w:tcPr>
            <w:tcW w:type="dxa" w:w="40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שילוב ייצוגים</w:t>
            </w:r>
          </w:p>
        </w:tc>
      </w:tr>
    </w:tbl>
    <w:p>
      <w:pPr>
        <w:spacing w:after="20"/>
      </w:pPr>
    </w:p>
    <w:p>
      <w:pPr>
        <w:pStyle w:val="Heading2"/>
        <w:jc w:val="right"/>
        <w:bidi/>
      </w:pPr>
      <w:r>
        <w:rPr>
          <w:rFonts w:ascii="Calibri" w:hAnsi="Calibri" w:cs="Arial"/>
          <w:b/>
          <w:i w:val="0"/>
          <w:color w:val="315C8D"/>
          <w:sz w:val="22"/>
        </w:rPr>
        <w:t>שחזור קשתות ומודלי אפס</w:t>
      </w:r>
    </w:p>
    <w:p>
      <w:pPr>
        <w:spacing w:after="60"/>
        <w:jc w:val="right"/>
        <w:keepNext w:val="0"/>
        <w:bidi/>
      </w:pPr>
      <w:r>
        <w:rPr>
          <w:rFonts w:ascii="Calibri" w:hAnsi="Calibri" w:cs="Arial"/>
          <w:b w:val="0"/>
          <w:i w:val="0"/>
          <w:color w:val="000000"/>
          <w:sz w:val="18"/>
        </w:rPr>
        <w:t>בשחזור קשתות מוגן עץ פורש וקשתות test נדגמות רק מן הקשתות האחרות; כך גרף האימון נשאר קשיר. non-edges מותאמים לפי Web-Web, ML-ML ו־Web-ML. נבדקים Common Neighbors, Jaccard, Adamic-Adar, Preferential Attachment, Same Community, DeepWalk ו־Node2Vec. ערכי p אמפיריים מחושבים עם (b+1)/(B+1), ולכן אינם אפס.</w:t>
      </w:r>
    </w:p>
    <w:p>
      <w:r>
        <w:br w:type="page"/>
      </w:r>
    </w:p>
    <w:p>
      <w:pPr>
        <w:pStyle w:val="Heading1"/>
        <w:jc w:val="right"/>
        <w:bidi/>
      </w:pPr>
      <w:r>
        <w:rPr>
          <w:rFonts w:ascii="Calibri" w:hAnsi="Calibri" w:cs="Arial"/>
          <w:b/>
          <w:i w:val="0"/>
          <w:color w:val="315C8D"/>
          <w:sz w:val="27"/>
        </w:rPr>
        <w:t>2. מבנה הרשת, מרכזיות וקהילות</w:t>
      </w:r>
    </w:p>
    <w:p>
      <w:pPr>
        <w:spacing w:after="60"/>
        <w:jc w:val="right"/>
        <w:keepNext w:val="0"/>
        <w:bidi/>
      </w:pPr>
      <w:r>
        <w:rPr>
          <w:rFonts w:ascii="Calibri" w:hAnsi="Calibri" w:cs="Arial"/>
          <w:b w:val="0"/>
          <w:i w:val="0"/>
          <w:color w:val="000000"/>
          <w:sz w:val="18"/>
        </w:rPr>
        <w:t>הרשת קשירה, צפופה מעט בלבד (0.000407) ובעלת דרגת שיא 9,458. Degree ו־PageRank מדגישים מוקדי קשרים, בעוד Betweenness מדגישה תיווך בין אזורים; לכן טבלאות המובילים אינן זהות.</w:t>
      </w:r>
    </w:p>
    <w:tbl>
      <w:tblPr>
        <w:tblStyle w:val="TableGrid"/>
        <w:tblW w:type="dxa" w:w="10440"/>
        <w:jc w:val="center"/>
        <w:tblLayout w:type="fixed"/>
        <w:tblLook w:firstColumn="1" w:firstRow="1" w:lastColumn="0" w:lastRow="0" w:noHBand="0" w:noVBand="1" w:val="04A0"/>
        <w:tblInd w:w="100" w:type="dxa"/>
      </w:tblPr>
      <w:tblGrid>
        <w:gridCol w:w="1800"/>
        <w:gridCol w:w="3000"/>
        <w:gridCol w:w="1500"/>
        <w:gridCol w:w="1300"/>
        <w:gridCol w:w="2840"/>
      </w:tblGrid>
      <w:tr>
        <w:trPr>
          <w:tblHeader w:val="true"/>
          <w:cantSplit/>
        </w:trPr>
        <w:tc>
          <w:tcPr>
            <w:tcW w:type="dxa" w:w="18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מדד</w:t>
            </w:r>
          </w:p>
        </w:tc>
        <w:tc>
          <w:tcPr>
            <w:tcW w:type="dxa" w:w="30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מפתח מוביל</w:t>
            </w:r>
          </w:p>
        </w:tc>
        <w:tc>
          <w:tcPr>
            <w:tcW w:type="dxa" w:w="15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Node ID</w:t>
            </w:r>
          </w:p>
        </w:tc>
        <w:tc>
          <w:tcPr>
            <w:tcW w:type="dxa" w:w="13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דרגה</w:t>
            </w:r>
          </w:p>
        </w:tc>
        <w:tc>
          <w:tcPr>
            <w:tcW w:type="dxa" w:w="284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ציון</w:t>
            </w:r>
          </w:p>
        </w:tc>
      </w:tr>
      <w:tr>
        <w:trPr>
          <w:cantSplit/>
        </w:trPr>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Degree</w:t>
            </w:r>
          </w:p>
        </w:tc>
        <w:tc>
          <w:tcPr>
            <w:tcW w:type="dxa" w:w="30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dalinhuang99</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31890</w:t>
            </w:r>
          </w:p>
        </w:tc>
        <w:tc>
          <w:tcPr>
            <w:tcW w:type="dxa" w:w="13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9,458</w:t>
            </w:r>
          </w:p>
        </w:tc>
        <w:tc>
          <w:tcPr>
            <w:tcW w:type="dxa" w:w="28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0.250882</w:t>
            </w:r>
          </w:p>
        </w:tc>
      </w:tr>
      <w:tr>
        <w:trPr>
          <w:cantSplit/>
        </w:trPr>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PageRank</w:t>
            </w:r>
          </w:p>
        </w:tc>
        <w:tc>
          <w:tcPr>
            <w:tcW w:type="dxa" w:w="30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dalinhuang99</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31890</w:t>
            </w:r>
          </w:p>
        </w:tc>
        <w:tc>
          <w:tcPr>
            <w:tcW w:type="dxa" w:w="13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9,458</w:t>
            </w:r>
          </w:p>
        </w:tc>
        <w:tc>
          <w:tcPr>
            <w:tcW w:type="dxa" w:w="28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0.016514</w:t>
            </w:r>
          </w:p>
        </w:tc>
      </w:tr>
      <w:tr>
        <w:trPr>
          <w:cantSplit/>
        </w:trPr>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Betweenness</w:t>
            </w:r>
          </w:p>
        </w:tc>
        <w:tc>
          <w:tcPr>
            <w:tcW w:type="dxa" w:w="30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nfultz</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27803</w:t>
            </w:r>
          </w:p>
        </w:tc>
        <w:tc>
          <w:tcPr>
            <w:tcW w:type="dxa" w:w="13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7,085</w:t>
            </w:r>
          </w:p>
        </w:tc>
        <w:tc>
          <w:tcPr>
            <w:tcW w:type="dxa" w:w="28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0.270590</w:t>
            </w:r>
          </w:p>
        </w:tc>
      </w:tr>
    </w:tbl>
    <w:p>
      <w:pPr>
        <w:spacing w:after="20"/>
      </w:pPr>
    </w:p>
    <w:p>
      <w:pPr>
        <w:spacing w:after="60"/>
        <w:jc w:val="right"/>
        <w:keepNext w:val="0"/>
        <w:bidi/>
      </w:pPr>
      <w:r>
        <w:rPr>
          <w:rFonts w:ascii="Calibri" w:hAnsi="Calibri" w:cs="Arial"/>
          <w:b w:val="0"/>
          <w:i w:val="0"/>
          <w:color w:val="000000"/>
          <w:sz w:val="18"/>
        </w:rPr>
        <w:t>חפיפת Jaccard בין 20 המובילים ב־Degree וב־PageRank היא 1.000, לעומת 0.600 בין Degree וב־Betweenness. הפער ממחיש שמתווכים אינם בהכרח הצמתים בעלי מספר הקשרים הגדול ביותר.</w:t>
      </w:r>
    </w:p>
    <w:p>
      <w:pPr>
        <w:keepNext/>
        <w:jc w:val="center"/>
      </w:pPr>
      <w:r>
        <w:drawing>
          <wp:inline xmlns:a="http://schemas.openxmlformats.org/drawingml/2006/main" xmlns:pic="http://schemas.openxmlformats.org/drawingml/2006/picture">
            <wp:extent cx="5623560" cy="3717951"/>
            <wp:docPr id="1" name="Picture 1"/>
            <wp:cNvGraphicFramePr>
              <a:graphicFrameLocks noChangeAspect="1"/>
            </wp:cNvGraphicFramePr>
            <a:graphic>
              <a:graphicData uri="http://schemas.openxmlformats.org/drawingml/2006/picture">
                <pic:pic>
                  <pic:nvPicPr>
                    <pic:cNvPr id="0" name="community_size_and_composition.png"/>
                    <pic:cNvPicPr/>
                  </pic:nvPicPr>
                  <pic:blipFill>
                    <a:blip r:embed="rId11"/>
                    <a:stretch>
                      <a:fillRect/>
                    </a:stretch>
                  </pic:blipFill>
                  <pic:spPr>
                    <a:xfrm>
                      <a:off x="0" y="0"/>
                      <a:ext cx="5623560" cy="3717951"/>
                    </a:xfrm>
                    <a:prstGeom prst="rect"/>
                  </pic:spPr>
                </pic:pic>
              </a:graphicData>
            </a:graphic>
          </wp:inline>
        </w:drawing>
      </w:r>
    </w:p>
    <w:p>
      <w:pPr>
        <w:spacing w:before="20" w:after="60"/>
        <w:jc w:val="center"/>
        <w:bidi/>
      </w:pPr>
      <w:r>
        <w:rPr>
          <w:rFonts w:ascii="Calibri" w:hAnsi="Calibri" w:cs="Arial"/>
          <w:b w:val="0"/>
          <w:i/>
          <w:color w:val="5F6B7A"/>
          <w:sz w:val="15"/>
        </w:rPr>
        <w:t>איור 1. שתים־עשרה קהילות Louvain הגדולות: גודל והרכב תחומי.</w:t>
      </w:r>
    </w:p>
    <w:p>
      <w:pPr>
        <w:spacing w:after="60"/>
        <w:jc w:val="right"/>
        <w:keepNext w:val="0"/>
        <w:bidi/>
      </w:pPr>
      <w:r>
        <w:rPr>
          <w:rFonts w:ascii="Calibri" w:hAnsi="Calibri" w:cs="Arial"/>
          <w:b w:val="0"/>
          <w:i w:val="0"/>
          <w:color w:val="000000"/>
          <w:sz w:val="18"/>
        </w:rPr>
        <w:t>Louvain מצא 31 קהילות עם מודולריות 0.453. הקהילה הגדולה מכילה 8,732 צמתים; הטוהר הממוצע המשוקלל הוא 0.830. הרכבים שונים בין קהילות מצביעים על קשר בין מבנה לתחום, אך קהילות מעורבות מונעות פירוש דטרמיניסטי.</w:t>
      </w:r>
    </w:p>
    <w:p>
      <w:r>
        <w:br w:type="page"/>
      </w:r>
    </w:p>
    <w:p>
      <w:pPr>
        <w:pStyle w:val="Heading1"/>
        <w:jc w:val="right"/>
        <w:bidi/>
      </w:pPr>
      <w:r>
        <w:rPr>
          <w:rFonts w:ascii="Calibri" w:hAnsi="Calibri" w:cs="Arial"/>
          <w:b/>
          <w:i w:val="0"/>
          <w:color w:val="315C8D"/>
          <w:sz w:val="27"/>
        </w:rPr>
        <w:t>3. RQ1 — סיווג צמתים</w:t>
      </w:r>
    </w:p>
    <w:tbl>
      <w:tblPr>
        <w:tblStyle w:val="TableGrid"/>
        <w:tblW w:type="dxa" w:w="10440"/>
        <w:jc w:val="center"/>
        <w:tblLayout w:type="fixed"/>
        <w:tblLook w:firstColumn="1" w:firstRow="1" w:lastColumn="0" w:lastRow="0" w:noHBand="0" w:noVBand="1" w:val="04A0"/>
        <w:tblInd w:w="100" w:type="dxa"/>
      </w:tblPr>
      <w:tblGrid>
        <w:gridCol w:w="4100"/>
        <w:gridCol w:w="1600"/>
        <w:gridCol w:w="1500"/>
        <w:gridCol w:w="1600"/>
        <w:gridCol w:w="1640"/>
      </w:tblGrid>
      <w:tr>
        <w:trPr>
          <w:tblHeader w:val="true"/>
          <w:cantSplit/>
        </w:trPr>
        <w:tc>
          <w:tcPr>
            <w:tcW w:type="dxa" w:w="41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מודל</w:t>
            </w:r>
          </w:p>
        </w:tc>
        <w:tc>
          <w:tcPr>
            <w:tcW w:type="dxa" w:w="16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Macro F1</w:t>
            </w:r>
          </w:p>
        </w:tc>
        <w:tc>
          <w:tcPr>
            <w:tcW w:type="dxa" w:w="15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סטיית תקן</w:t>
            </w:r>
          </w:p>
        </w:tc>
        <w:tc>
          <w:tcPr>
            <w:tcW w:type="dxa" w:w="16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ROC-AUC</w:t>
            </w:r>
          </w:p>
        </w:tc>
        <w:tc>
          <w:tcPr>
            <w:tcW w:type="dxa" w:w="164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סטיית תקן</w:t>
            </w:r>
          </w:p>
        </w:tc>
      </w:tr>
      <w:tr>
        <w:trPr>
          <w:cantSplit/>
        </w:trPr>
        <w:tc>
          <w:tcPr>
            <w:tcW w:type="dxa" w:w="4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Majority Baseline</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0.426</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0.000</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0.500</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0.000</w:t>
            </w:r>
          </w:p>
        </w:tc>
      </w:tr>
      <w:tr>
        <w:trPr>
          <w:cantSplit/>
        </w:trPr>
        <w:tc>
          <w:tcPr>
            <w:tcW w:type="dxa" w:w="4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Neighbor Majority</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0.702</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0.006</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0.785</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0.005</w:t>
            </w:r>
          </w:p>
        </w:tc>
      </w:tr>
      <w:tr>
        <w:trPr>
          <w:cantSplit/>
        </w:trPr>
        <w:tc>
          <w:tcPr>
            <w:tcW w:type="dxa" w:w="4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LogReg Graph Features Only</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0.751</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0.005</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0.841</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0.004</w:t>
            </w:r>
          </w:p>
        </w:tc>
      </w:tr>
      <w:tr>
        <w:trPr>
          <w:cantSplit/>
        </w:trPr>
        <w:tc>
          <w:tcPr>
            <w:tcW w:type="dxa" w:w="4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LogReg Graph + Community Features</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0.772</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0.004</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0.869</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0.005</w:t>
            </w:r>
          </w:p>
        </w:tc>
      </w:tr>
    </w:tbl>
    <w:p>
      <w:pPr>
        <w:spacing w:after="20"/>
      </w:pPr>
    </w:p>
    <w:p>
      <w:pPr>
        <w:keepNext/>
        <w:jc w:val="center"/>
      </w:pPr>
      <w:r>
        <w:drawing>
          <wp:inline xmlns:a="http://schemas.openxmlformats.org/drawingml/2006/main" xmlns:pic="http://schemas.openxmlformats.org/drawingml/2006/picture">
            <wp:extent cx="5715000" cy="2703682"/>
            <wp:docPr id="2" name="Picture 2"/>
            <wp:cNvGraphicFramePr>
              <a:graphicFrameLocks noChangeAspect="1"/>
            </wp:cNvGraphicFramePr>
            <a:graphic>
              <a:graphicData uri="http://schemas.openxmlformats.org/drawingml/2006/picture">
                <pic:pic>
                  <pic:nvPicPr>
                    <pic:cNvPr id="0" name="classification_comparison.png"/>
                    <pic:cNvPicPr/>
                  </pic:nvPicPr>
                  <pic:blipFill>
                    <a:blip r:embed="rId12"/>
                    <a:stretch>
                      <a:fillRect/>
                    </a:stretch>
                  </pic:blipFill>
                  <pic:spPr>
                    <a:xfrm>
                      <a:off x="0" y="0"/>
                      <a:ext cx="5715000" cy="2703682"/>
                    </a:xfrm>
                    <a:prstGeom prst="rect"/>
                  </pic:spPr>
                </pic:pic>
              </a:graphicData>
            </a:graphic>
          </wp:inline>
        </w:drawing>
      </w:r>
    </w:p>
    <w:p>
      <w:pPr>
        <w:spacing w:before="20" w:after="60"/>
        <w:jc w:val="center"/>
        <w:bidi/>
      </w:pPr>
      <w:r>
        <w:rPr>
          <w:rFonts w:ascii="Calibri" w:hAnsi="Calibri" w:cs="Arial"/>
          <w:b w:val="0"/>
          <w:i/>
          <w:color w:val="5F6B7A"/>
          <w:sz w:val="15"/>
        </w:rPr>
        <w:t>איור 2. ביצועי סיווג הצמתים על פני חמש חלוקות; פסי השגיאה הם סטיית תקן.</w:t>
      </w:r>
    </w:p>
    <w:p>
      <w:pPr>
        <w:spacing w:after="60"/>
        <w:jc w:val="right"/>
        <w:keepNext w:val="0"/>
        <w:bidi/>
      </w:pPr>
      <w:r>
        <w:rPr>
          <w:rFonts w:ascii="Calibri" w:hAnsi="Calibri" w:cs="Arial"/>
          <w:b w:val="0"/>
          <w:i w:val="0"/>
          <w:color w:val="000000"/>
          <w:sz w:val="18"/>
        </w:rPr>
        <w:t>הוספת קהילה העלתה את ROC-AUC ל־0.869. סף שנבחר על validation בלבד היה 0.550 בממוצע; הוא שינה את Precision מ־0.622 ל־0.646 ואת Recall מ־0.721 ל־0.696. השינוי הוא trade-off תפעולי ואינו שיפור מובטח בכל מדד.</w:t>
      </w:r>
    </w:p>
    <w:p>
      <w:pPr>
        <w:spacing w:after="60"/>
        <w:jc w:val="right"/>
        <w:keepNext w:val="0"/>
        <w:bidi/>
      </w:pPr>
      <w:r>
        <w:rPr>
          <w:rFonts w:ascii="Calibri" w:hAnsi="Calibri" w:cs="Arial"/>
          <w:b/>
          <w:i w:val="0"/>
          <w:color w:val="000000"/>
          <w:sz w:val="18"/>
        </w:rPr>
        <w:t>מסקנת RQ1:</w:t>
      </w:r>
      <w:r>
        <w:rPr>
          <w:rFonts w:ascii="Calibri" w:hAnsi="Calibri" w:cs="Arial"/>
          <w:b w:val="0"/>
          <w:i w:val="0"/>
          <w:color w:val="000000"/>
          <w:sz w:val="18"/>
        </w:rPr>
        <w:t xml:space="preserve"> מבנה הרשת מספק אות חיזויי מעל קווי הבסיס; קהילה מוסיפה מידע מעבר לשכנות ולמרכזיות. המסקנה מוגבלת לפרוטוקול transductive ולתווית הבינארית שנבדקה.</w:t>
      </w:r>
    </w:p>
    <w:p>
      <w:r>
        <w:br w:type="page"/>
      </w:r>
    </w:p>
    <w:p>
      <w:pPr>
        <w:pStyle w:val="Heading1"/>
        <w:jc w:val="right"/>
        <w:bidi/>
      </w:pPr>
      <w:r>
        <w:rPr>
          <w:rFonts w:ascii="Calibri" w:hAnsi="Calibri" w:cs="Arial"/>
          <w:b/>
          <w:i w:val="0"/>
          <w:color w:val="315C8D"/>
          <w:sz w:val="27"/>
        </w:rPr>
        <w:t>4. RQ2 — רשת, תוכן וייצוגים נלמדים</w:t>
      </w:r>
    </w:p>
    <w:tbl>
      <w:tblPr>
        <w:tblStyle w:val="TableGrid"/>
        <w:tblW w:type="dxa" w:w="10440"/>
        <w:jc w:val="center"/>
        <w:tblLayout w:type="fixed"/>
        <w:tblLook w:firstColumn="1" w:firstRow="1" w:lastColumn="0" w:lastRow="0" w:noHBand="0" w:noVBand="1" w:val="04A0"/>
        <w:tblInd w:w="100" w:type="dxa"/>
      </w:tblPr>
      <w:tblGrid>
        <w:gridCol w:w="5600"/>
        <w:gridCol w:w="1600"/>
        <w:gridCol w:w="1600"/>
        <w:gridCol w:w="1640"/>
      </w:tblGrid>
      <w:tr>
        <w:trPr>
          <w:tblHeader w:val="true"/>
          <w:cantSplit/>
        </w:trPr>
        <w:tc>
          <w:tcPr>
            <w:tcW w:type="dxa" w:w="56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ייצוג/מקור מידע</w:t>
            </w:r>
          </w:p>
        </w:tc>
        <w:tc>
          <w:tcPr>
            <w:tcW w:type="dxa" w:w="16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Macro F1</w:t>
            </w:r>
          </w:p>
        </w:tc>
        <w:tc>
          <w:tcPr>
            <w:tcW w:type="dxa" w:w="16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ROC-AUC</w:t>
            </w:r>
          </w:p>
        </w:tc>
        <w:tc>
          <w:tcPr>
            <w:tcW w:type="dxa" w:w="164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סטיית תקן AUC</w:t>
            </w:r>
          </w:p>
        </w:tc>
      </w:tr>
      <w:tr>
        <w:trPr>
          <w:cantSplit/>
        </w:trPr>
        <w:tc>
          <w:tcPr>
            <w:tcW w:type="dxa" w:w="5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Content Features Only</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0.790</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0.889</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0.004</w:t>
            </w:r>
          </w:p>
        </w:tc>
      </w:tr>
      <w:tr>
        <w:trPr>
          <w:cantSplit/>
        </w:trPr>
        <w:tc>
          <w:tcPr>
            <w:tcW w:type="dxa" w:w="5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Hybrid (Network + Content)</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0.797</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0.898</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0.004</w:t>
            </w:r>
          </w:p>
        </w:tc>
      </w:tr>
      <w:tr>
        <w:trPr>
          <w:cantSplit/>
        </w:trPr>
        <w:tc>
          <w:tcPr>
            <w:tcW w:type="dxa" w:w="5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Network Only (Graph + Community)</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0.772</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0.869</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0.005</w:t>
            </w:r>
          </w:p>
        </w:tc>
      </w:tr>
      <w:tr>
        <w:trPr>
          <w:cantSplit/>
        </w:trPr>
        <w:tc>
          <w:tcPr>
            <w:tcW w:type="dxa" w:w="5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Node2Vec</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0.783</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0.890</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0.005</w:t>
            </w:r>
          </w:p>
        </w:tc>
      </w:tr>
      <w:tr>
        <w:trPr>
          <w:cantSplit/>
        </w:trPr>
        <w:tc>
          <w:tcPr>
            <w:tcW w:type="dxa" w:w="5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DeepWalk</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0.783</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0.891</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0.004</w:t>
            </w:r>
          </w:p>
        </w:tc>
      </w:tr>
      <w:tr>
        <w:trPr>
          <w:cantSplit/>
        </w:trPr>
        <w:tc>
          <w:tcPr>
            <w:tcW w:type="dxa" w:w="5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Node2Vec + Graph + Community</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0.791</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0.899</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0.005</w:t>
            </w:r>
          </w:p>
        </w:tc>
      </w:tr>
      <w:tr>
        <w:trPr>
          <w:cantSplit/>
        </w:trPr>
        <w:tc>
          <w:tcPr>
            <w:tcW w:type="dxa" w:w="5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LogReg DeepWalk + Graph + Community</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0.791</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0.900</w:t>
            </w:r>
          </w:p>
        </w:tc>
        <w:tc>
          <w:tcPr>
            <w:tcW w:type="dxa" w:w="16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0.005</w:t>
            </w:r>
          </w:p>
        </w:tc>
      </w:tr>
    </w:tbl>
    <w:p>
      <w:pPr>
        <w:spacing w:after="20"/>
      </w:pPr>
    </w:p>
    <w:p>
      <w:pPr>
        <w:keepNext/>
        <w:jc w:val="center"/>
      </w:pPr>
      <w:r>
        <w:drawing>
          <wp:inline xmlns:a="http://schemas.openxmlformats.org/drawingml/2006/main" xmlns:pic="http://schemas.openxmlformats.org/drawingml/2006/picture">
            <wp:extent cx="5760720" cy="2559957"/>
            <wp:docPr id="3" name="Picture 3"/>
            <wp:cNvGraphicFramePr>
              <a:graphicFrameLocks noChangeAspect="1"/>
            </wp:cNvGraphicFramePr>
            <a:graphic>
              <a:graphicData uri="http://schemas.openxmlformats.org/drawingml/2006/picture">
                <pic:pic>
                  <pic:nvPicPr>
                    <pic:cNvPr id="0" name="representation_comparison.png"/>
                    <pic:cNvPicPr/>
                  </pic:nvPicPr>
                  <pic:blipFill>
                    <a:blip r:embed="rId13"/>
                    <a:stretch>
                      <a:fillRect/>
                    </a:stretch>
                  </pic:blipFill>
                  <pic:spPr>
                    <a:xfrm>
                      <a:off x="0" y="0"/>
                      <a:ext cx="5760720" cy="2559957"/>
                    </a:xfrm>
                    <a:prstGeom prst="rect"/>
                  </pic:spPr>
                </pic:pic>
              </a:graphicData>
            </a:graphic>
          </wp:inline>
        </w:drawing>
      </w:r>
    </w:p>
    <w:p>
      <w:pPr>
        <w:spacing w:before="20" w:after="60"/>
        <w:jc w:val="center"/>
        <w:bidi/>
      </w:pPr>
      <w:r>
        <w:rPr>
          <w:rFonts w:ascii="Calibri" w:hAnsi="Calibri" w:cs="Arial"/>
          <w:b w:val="0"/>
          <w:i/>
          <w:color w:val="5F6B7A"/>
          <w:sz w:val="15"/>
        </w:rPr>
        <w:t>איור 3. השוואה הוגנת בין פיצ'רים ידניים, תוכן, DeepWalk, Node2Vec והיברידי.</w:t>
      </w:r>
    </w:p>
    <w:p>
      <w:pPr>
        <w:spacing w:after="60"/>
        <w:jc w:val="right"/>
        <w:keepNext w:val="0"/>
        <w:bidi/>
      </w:pPr>
      <w:r>
        <w:rPr>
          <w:rFonts w:ascii="Calibri" w:hAnsi="Calibri" w:cs="Arial"/>
          <w:b w:val="0"/>
          <w:i w:val="0"/>
          <w:color w:val="000000"/>
          <w:sz w:val="18"/>
        </w:rPr>
        <w:t>תוכן לבדו הגיע ל־AUC 0.889, מול 0.869 בפיצ'רים ידניים של הרשת ו־0.898 בשילוב. DeepWalk לבדו הגיע ל־0.891 ו־Node2Vec ל־0.890. הדמיון בביצועים מצביע על חפיפה חיזויית בתנאי הניסוי; הוא אינו מוכיח שקילות בין מקורות המידע.</w:t>
      </w:r>
    </w:p>
    <w:p>
      <w:pPr>
        <w:spacing w:after="60"/>
        <w:jc w:val="right"/>
        <w:keepNext w:val="0"/>
        <w:bidi/>
      </w:pPr>
      <w:r>
        <w:rPr>
          <w:rFonts w:ascii="Calibri" w:hAnsi="Calibri" w:cs="Arial"/>
          <w:b/>
          <w:i w:val="0"/>
          <w:color w:val="000000"/>
          <w:sz w:val="18"/>
        </w:rPr>
        <w:t>מסקנת RQ2:</w:t>
      </w:r>
      <w:r>
        <w:rPr>
          <w:rFonts w:ascii="Calibri" w:hAnsi="Calibri" w:cs="Arial"/>
          <w:b w:val="0"/>
          <w:i w:val="0"/>
          <w:color w:val="000000"/>
          <w:sz w:val="18"/>
        </w:rPr>
        <w:t xml:space="preserve"> פיצ'רי תוכן חזקים מן הייצוג הידני של הרשת, אך השילוב משפר את התוצאה. הטמעות הילוכים מרכזות מידע מבני שימושי ומצמצמות חלק מן הפער.</w:t>
      </w:r>
    </w:p>
    <w:p>
      <w:r>
        <w:br w:type="page"/>
      </w:r>
    </w:p>
    <w:p>
      <w:pPr>
        <w:pStyle w:val="Heading1"/>
        <w:jc w:val="right"/>
        <w:bidi/>
      </w:pPr>
      <w:r>
        <w:rPr>
          <w:rFonts w:ascii="Calibri" w:hAnsi="Calibri" w:cs="Arial"/>
          <w:b/>
          <w:i w:val="0"/>
          <w:color w:val="315C8D"/>
          <w:sz w:val="27"/>
        </w:rPr>
        <w:t>5. RQ3 — שחזור קשתות קשיר</w:t>
      </w:r>
    </w:p>
    <w:p>
      <w:pPr>
        <w:spacing w:after="60"/>
        <w:jc w:val="right"/>
        <w:keepNext w:val="0"/>
        <w:bidi/>
      </w:pPr>
      <w:r>
        <w:rPr>
          <w:rFonts w:ascii="Calibri" w:hAnsi="Calibri" w:cs="Arial"/>
          <w:b w:val="0"/>
          <w:i w:val="0"/>
          <w:color w:val="000000"/>
          <w:sz w:val="18"/>
        </w:rPr>
        <w:t>בכל seed מוגנות כל קשתות עץ פורש, ולכן הסרת 10% מהקשתות שאינן בעץ אינה מפרקת את גרף האימון. בכל חמש החלוקות התקבל רכיב קשיר אחד וללא צמתים מבודדים. שמירה זו נדרשת במיוחד למסלולים, Louvain והטמעות המבוססות הילוכים. לכל positive הותאם non-edge מאותו סוג קצוות.</w:t>
      </w:r>
    </w:p>
    <w:tbl>
      <w:tblPr>
        <w:tblStyle w:val="TableGrid"/>
        <w:tblW w:type="dxa" w:w="10440"/>
        <w:jc w:val="center"/>
        <w:tblLayout w:type="fixed"/>
        <w:tblLook w:firstColumn="1" w:firstRow="1" w:lastColumn="0" w:lastRow="0" w:noHBand="0" w:noVBand="1" w:val="04A0"/>
        <w:tblInd w:w="100" w:type="dxa"/>
      </w:tblPr>
      <w:tblGrid>
        <w:gridCol w:w="3700"/>
        <w:gridCol w:w="1500"/>
        <w:gridCol w:w="1400"/>
        <w:gridCol w:w="2100"/>
        <w:gridCol w:w="1740"/>
      </w:tblGrid>
      <w:tr>
        <w:trPr>
          <w:tblHeader w:val="true"/>
          <w:cantSplit/>
        </w:trPr>
        <w:tc>
          <w:tcPr>
            <w:tcW w:type="dxa" w:w="37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שיטה</w:t>
            </w:r>
          </w:p>
        </w:tc>
        <w:tc>
          <w:tcPr>
            <w:tcW w:type="dxa" w:w="15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ROC-AUC</w:t>
            </w:r>
          </w:p>
        </w:tc>
        <w:tc>
          <w:tcPr>
            <w:tcW w:type="dxa" w:w="14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סטיית תקן</w:t>
            </w:r>
          </w:p>
        </w:tc>
        <w:tc>
          <w:tcPr>
            <w:tcW w:type="dxa" w:w="21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Average Precision</w:t>
            </w:r>
          </w:p>
        </w:tc>
        <w:tc>
          <w:tcPr>
            <w:tcW w:type="dxa" w:w="174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סטיית תקן</w:t>
            </w:r>
          </w:p>
        </w:tc>
      </w:tr>
      <w:tr>
        <w:trPr>
          <w:cantSplit/>
        </w:trPr>
        <w:tc>
          <w:tcPr>
            <w:tcW w:type="dxa" w:w="37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Preferential Attachment</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0.924</w:t>
            </w:r>
          </w:p>
        </w:tc>
        <w:tc>
          <w:tcPr>
            <w:tcW w:type="dxa" w:w="14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0.001</w:t>
            </w:r>
          </w:p>
        </w:tc>
        <w:tc>
          <w:tcPr>
            <w:tcW w:type="dxa" w:w="2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0.931</w:t>
            </w:r>
          </w:p>
        </w:tc>
        <w:tc>
          <w:tcPr>
            <w:tcW w:type="dxa" w:w="17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0.001</w:t>
            </w:r>
          </w:p>
        </w:tc>
      </w:tr>
      <w:tr>
        <w:trPr>
          <w:cantSplit/>
        </w:trPr>
        <w:tc>
          <w:tcPr>
            <w:tcW w:type="dxa" w:w="37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Node2Vec</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0.900</w:t>
            </w:r>
          </w:p>
        </w:tc>
        <w:tc>
          <w:tcPr>
            <w:tcW w:type="dxa" w:w="14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0.003</w:t>
            </w:r>
          </w:p>
        </w:tc>
        <w:tc>
          <w:tcPr>
            <w:tcW w:type="dxa" w:w="2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0.911</w:t>
            </w:r>
          </w:p>
        </w:tc>
        <w:tc>
          <w:tcPr>
            <w:tcW w:type="dxa" w:w="17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0.002</w:t>
            </w:r>
          </w:p>
        </w:tc>
      </w:tr>
      <w:tr>
        <w:trPr>
          <w:cantSplit/>
        </w:trPr>
        <w:tc>
          <w:tcPr>
            <w:tcW w:type="dxa" w:w="37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DeepWalk</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0.897</w:t>
            </w:r>
          </w:p>
        </w:tc>
        <w:tc>
          <w:tcPr>
            <w:tcW w:type="dxa" w:w="14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0.003</w:t>
            </w:r>
          </w:p>
        </w:tc>
        <w:tc>
          <w:tcPr>
            <w:tcW w:type="dxa" w:w="2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0.907</w:t>
            </w:r>
          </w:p>
        </w:tc>
        <w:tc>
          <w:tcPr>
            <w:tcW w:type="dxa" w:w="17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0.002</w:t>
            </w:r>
          </w:p>
        </w:tc>
      </w:tr>
      <w:tr>
        <w:trPr>
          <w:cantSplit/>
        </w:trPr>
        <w:tc>
          <w:tcPr>
            <w:tcW w:type="dxa" w:w="37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Adamic-Adar</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0.860</w:t>
            </w:r>
          </w:p>
        </w:tc>
        <w:tc>
          <w:tcPr>
            <w:tcW w:type="dxa" w:w="14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0.003</w:t>
            </w:r>
          </w:p>
        </w:tc>
        <w:tc>
          <w:tcPr>
            <w:tcW w:type="dxa" w:w="2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0.870</w:t>
            </w:r>
          </w:p>
        </w:tc>
        <w:tc>
          <w:tcPr>
            <w:tcW w:type="dxa" w:w="17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0.002</w:t>
            </w:r>
          </w:p>
        </w:tc>
      </w:tr>
      <w:tr>
        <w:trPr>
          <w:cantSplit/>
        </w:trPr>
        <w:tc>
          <w:tcPr>
            <w:tcW w:type="dxa" w:w="37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Common Neighbors</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0.853</w:t>
            </w:r>
          </w:p>
        </w:tc>
        <w:tc>
          <w:tcPr>
            <w:tcW w:type="dxa" w:w="14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0.003</w:t>
            </w:r>
          </w:p>
        </w:tc>
        <w:tc>
          <w:tcPr>
            <w:tcW w:type="dxa" w:w="2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0.848</w:t>
            </w:r>
          </w:p>
        </w:tc>
        <w:tc>
          <w:tcPr>
            <w:tcW w:type="dxa" w:w="17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0.003</w:t>
            </w:r>
          </w:p>
        </w:tc>
      </w:tr>
      <w:tr>
        <w:trPr>
          <w:cantSplit/>
        </w:trPr>
        <w:tc>
          <w:tcPr>
            <w:tcW w:type="dxa" w:w="37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Jaccard</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0.796</w:t>
            </w:r>
          </w:p>
        </w:tc>
        <w:tc>
          <w:tcPr>
            <w:tcW w:type="dxa" w:w="14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0.004</w:t>
            </w:r>
          </w:p>
        </w:tc>
        <w:tc>
          <w:tcPr>
            <w:tcW w:type="dxa" w:w="2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0.713</w:t>
            </w:r>
          </w:p>
        </w:tc>
        <w:tc>
          <w:tcPr>
            <w:tcW w:type="dxa" w:w="17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0.006</w:t>
            </w:r>
          </w:p>
        </w:tc>
      </w:tr>
      <w:tr>
        <w:trPr>
          <w:cantSplit/>
        </w:trPr>
        <w:tc>
          <w:tcPr>
            <w:tcW w:type="dxa" w:w="37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Same Community</w:t>
            </w:r>
          </w:p>
        </w:tc>
        <w:tc>
          <w:tcPr>
            <w:tcW w:type="dxa" w:w="15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0.704</w:t>
            </w:r>
          </w:p>
        </w:tc>
        <w:tc>
          <w:tcPr>
            <w:tcW w:type="dxa" w:w="14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0.004</w:t>
            </w:r>
          </w:p>
        </w:tc>
        <w:tc>
          <w:tcPr>
            <w:tcW w:type="dxa" w:w="21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0.657</w:t>
            </w:r>
          </w:p>
        </w:tc>
        <w:tc>
          <w:tcPr>
            <w:tcW w:type="dxa" w:w="17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0.004</w:t>
            </w:r>
          </w:p>
        </w:tc>
      </w:tr>
    </w:tbl>
    <w:p>
      <w:pPr>
        <w:spacing w:after="20"/>
      </w:pPr>
    </w:p>
    <w:p>
      <w:pPr>
        <w:keepNext/>
        <w:jc w:val="center"/>
      </w:pPr>
      <w:r>
        <w:drawing>
          <wp:inline xmlns:a="http://schemas.openxmlformats.org/drawingml/2006/main" xmlns:pic="http://schemas.openxmlformats.org/drawingml/2006/picture">
            <wp:extent cx="5806440" cy="2409264"/>
            <wp:docPr id="4" name="Picture 4"/>
            <wp:cNvGraphicFramePr>
              <a:graphicFrameLocks noChangeAspect="1"/>
            </wp:cNvGraphicFramePr>
            <a:graphic>
              <a:graphicData uri="http://schemas.openxmlformats.org/drawingml/2006/picture">
                <pic:pic>
                  <pic:nvPicPr>
                    <pic:cNvPr id="0" name="edge_reconstruction_same_vs_cross.png"/>
                    <pic:cNvPicPr/>
                  </pic:nvPicPr>
                  <pic:blipFill>
                    <a:blip r:embed="rId14"/>
                    <a:stretch>
                      <a:fillRect/>
                    </a:stretch>
                  </pic:blipFill>
                  <pic:spPr>
                    <a:xfrm>
                      <a:off x="0" y="0"/>
                      <a:ext cx="5806440" cy="2409264"/>
                    </a:xfrm>
                    <a:prstGeom prst="rect"/>
                  </pic:spPr>
                </pic:pic>
              </a:graphicData>
            </a:graphic>
          </wp:inline>
        </w:drawing>
      </w:r>
    </w:p>
    <w:p>
      <w:pPr>
        <w:spacing w:before="20" w:after="60"/>
        <w:jc w:val="center"/>
        <w:bidi/>
      </w:pPr>
      <w:r>
        <w:rPr>
          <w:rFonts w:ascii="Calibri" w:hAnsi="Calibri" w:cs="Arial"/>
          <w:b w:val="0"/>
          <w:i/>
          <w:color w:val="5F6B7A"/>
          <w:sz w:val="15"/>
        </w:rPr>
        <w:t>איור 4. השוואה ישירה same-field מול cross-field תחת דגימה מאוזנת.</w:t>
      </w:r>
    </w:p>
    <w:p>
      <w:pPr>
        <w:spacing w:after="60"/>
        <w:jc w:val="right"/>
        <w:keepNext w:val="0"/>
        <w:bidi/>
      </w:pPr>
      <w:r>
        <w:rPr>
          <w:rFonts w:ascii="Calibri" w:hAnsi="Calibri" w:cs="Arial"/>
          <w:b w:val="0"/>
          <w:i w:val="0"/>
          <w:color w:val="000000"/>
          <w:sz w:val="18"/>
        </w:rPr>
        <w:t>Preferential Attachment הוביל עם AUC 0.924. באותה שיטה, same-field קיבל AUC 0.926 ו־AP 0.933, לעומת AUC 0.918 ו־AP 0.925 ב־cross-field. לכן השחזור התוך־תחומי גבוה יותר בפרוטוקול זה. התוצאה מתארת יכולת שחזור ואינה מוכיחה מנגנון סיבתי.</w:t>
      </w:r>
    </w:p>
    <w:p>
      <w:r>
        <w:br w:type="page"/>
      </w:r>
    </w:p>
    <w:p>
      <w:pPr>
        <w:pStyle w:val="Heading1"/>
        <w:jc w:val="right"/>
        <w:bidi/>
      </w:pPr>
      <w:r>
        <w:rPr>
          <w:rFonts w:ascii="Calibri" w:hAnsi="Calibri" w:cs="Arial"/>
          <w:b/>
          <w:i w:val="0"/>
          <w:color w:val="315C8D"/>
          <w:sz w:val="27"/>
        </w:rPr>
        <w:t>6. RQ4 — מודלי אפס ומודלי רשת</w:t>
      </w:r>
    </w:p>
    <w:tbl>
      <w:tblPr>
        <w:tblStyle w:val="TableGrid"/>
        <w:tblW w:type="dxa" w:w="10440"/>
        <w:jc w:val="center"/>
        <w:tblLayout w:type="fixed"/>
        <w:tblLook w:firstColumn="1" w:firstRow="1" w:lastColumn="0" w:lastRow="0" w:noHBand="0" w:noVBand="1" w:val="04A0"/>
        <w:tblInd w:w="100" w:type="dxa"/>
      </w:tblPr>
      <w:tblGrid>
        <w:gridCol w:w="2800"/>
        <w:gridCol w:w="1600"/>
        <w:gridCol w:w="2000"/>
        <w:gridCol w:w="1800"/>
        <w:gridCol w:w="2240"/>
      </w:tblGrid>
      <w:tr>
        <w:trPr>
          <w:tblHeader w:val="true"/>
          <w:cantSplit/>
        </w:trPr>
        <w:tc>
          <w:tcPr>
            <w:tcW w:type="dxa" w:w="28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מודל אפס</w:t>
            </w:r>
          </w:p>
        </w:tc>
        <w:tc>
          <w:tcPr>
            <w:tcW w:type="dxa" w:w="16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נצפה</w:t>
            </w:r>
          </w:p>
        </w:tc>
        <w:tc>
          <w:tcPr>
            <w:tcW w:type="dxa" w:w="20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ממוצע אפס</w:t>
            </w:r>
          </w:p>
        </w:tc>
        <w:tc>
          <w:tcPr>
            <w:tcW w:type="dxa" w:w="18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סטיית תקן</w:t>
            </w:r>
          </w:p>
        </w:tc>
        <w:tc>
          <w:tcPr>
            <w:tcW w:type="dxa" w:w="224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6"/>
              </w:rPr>
              <w:t>p אמפירי</w:t>
            </w:r>
          </w:p>
        </w:tc>
      </w:tr>
      <w:tr>
        <w:trPr>
          <w:cantSplit/>
        </w:trPr>
        <w:tc>
          <w:tcPr>
            <w:tcW w:type="dxa" w:w="2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ערבוב תוויות</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0.845</w:t>
            </w:r>
          </w:p>
        </w:tc>
        <w:tc>
          <w:tcPr>
            <w:tcW w:type="dxa" w:w="20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0.617</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0.012</w:t>
            </w:r>
          </w:p>
        </w:tc>
        <w:tc>
          <w:tcPr>
            <w:tcW w:type="dxa" w:w="22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0.000999</w:t>
            </w:r>
          </w:p>
        </w:tc>
      </w:tr>
      <w:tr>
        <w:trPr>
          <w:cantSplit/>
        </w:trPr>
        <w:tc>
          <w:tcPr>
            <w:tcW w:type="dxa" w:w="2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גרף משמר־דרגות</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0.845</w:t>
            </w:r>
          </w:p>
        </w:tc>
        <w:tc>
          <w:tcPr>
            <w:tcW w:type="dxa" w:w="20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0.751</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0.001</w:t>
            </w:r>
          </w:p>
        </w:tc>
        <w:tc>
          <w:tcPr>
            <w:tcW w:type="dxa" w:w="22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6"/>
              </w:rPr>
              <w:t>0.047619</w:t>
            </w:r>
          </w:p>
        </w:tc>
      </w:tr>
    </w:tbl>
    <w:p>
      <w:pPr>
        <w:spacing w:after="20"/>
      </w:pPr>
    </w:p>
    <w:tbl>
      <w:tblPr>
        <w:tblStyle w:val="TableGrid"/>
        <w:tblW w:type="dxa" w:w="10440"/>
        <w:jc w:val="center"/>
        <w:tblLayout w:type="fixed"/>
        <w:tblLook w:firstColumn="1" w:firstRow="1" w:lastColumn="0" w:lastRow="0" w:noHBand="0" w:noVBand="1" w:val="04A0"/>
        <w:tblInd w:w="100" w:type="dxa"/>
      </w:tblPr>
      <w:tblGrid>
        <w:gridCol w:w="4000"/>
        <w:gridCol w:w="1800"/>
        <w:gridCol w:w="1600"/>
        <w:gridCol w:w="1800"/>
        <w:gridCol w:w="1240"/>
      </w:tblGrid>
      <w:tr>
        <w:trPr>
          <w:tblHeader w:val="true"/>
          <w:cantSplit/>
        </w:trPr>
        <w:tc>
          <w:tcPr>
            <w:tcW w:type="dxa" w:w="40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רשת</w:t>
            </w:r>
          </w:p>
        </w:tc>
        <w:tc>
          <w:tcPr>
            <w:tcW w:type="dxa" w:w="18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קשתות</w:t>
            </w:r>
          </w:p>
        </w:tc>
        <w:tc>
          <w:tcPr>
            <w:tcW w:type="dxa" w:w="16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Clustering</w:t>
            </w:r>
          </w:p>
        </w:tc>
        <w:tc>
          <w:tcPr>
            <w:tcW w:type="dxa" w:w="180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מרחק ממוצע</w:t>
            </w:r>
          </w:p>
        </w:tc>
        <w:tc>
          <w:tcPr>
            <w:tcW w:type="dxa" w:w="1240"/>
            <w:shd w:fill="E8EEF5"/>
            <w:vAlign w:val="center"/>
            <w:tcMar>
              <w:top w:w="55" w:type="dxa"/>
              <w:bottom w:w="55" w:type="dxa"/>
              <w:start w:w="100" w:type="dxa"/>
              <w:end w:w="100" w:type="dxa"/>
            </w:tcMar>
          </w:tcPr>
          <w:p>
            <w:pPr>
              <w:spacing w:before="0" w:after="0"/>
              <w:jc w:val="right"/>
              <w:bidi/>
            </w:pPr>
            <w:r/>
            <w:r>
              <w:rPr>
                <w:rFonts w:ascii="Calibri" w:hAnsi="Calibri" w:cs="Arial"/>
                <w:b/>
                <w:i w:val="0"/>
                <w:color w:val="172B4D"/>
                <w:sz w:val="15"/>
              </w:rPr>
              <w:t>דרגת שיא</w:t>
            </w:r>
          </w:p>
        </w:tc>
      </w:tr>
      <w:tr>
        <w:trPr>
          <w:cantSplit/>
        </w:trPr>
        <w:tc>
          <w:tcPr>
            <w:tcW w:type="dxa" w:w="40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GitHub observed</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289,003</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0.1675</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3.218</w:t>
            </w:r>
          </w:p>
        </w:tc>
        <w:tc>
          <w:tcPr>
            <w:tcW w:type="dxa" w:w="12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9458</w:t>
            </w:r>
          </w:p>
        </w:tc>
      </w:tr>
      <w:tr>
        <w:trPr>
          <w:cantSplit/>
        </w:trPr>
        <w:tc>
          <w:tcPr>
            <w:tcW w:type="dxa" w:w="40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Erdos-Renyi</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289,003</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0.0004</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4.125</w:t>
            </w:r>
          </w:p>
        </w:tc>
        <w:tc>
          <w:tcPr>
            <w:tcW w:type="dxa" w:w="12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34</w:t>
            </w:r>
          </w:p>
        </w:tc>
      </w:tr>
      <w:tr>
        <w:trPr>
          <w:cantSplit/>
        </w:trPr>
        <w:tc>
          <w:tcPr>
            <w:tcW w:type="dxa" w:w="40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Barabasi-Albert (m=8)</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301,536</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0.0034</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3.590</w:t>
            </w:r>
          </w:p>
        </w:tc>
        <w:tc>
          <w:tcPr>
            <w:tcW w:type="dxa" w:w="12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891</w:t>
            </w:r>
          </w:p>
        </w:tc>
      </w:tr>
      <w:tr>
        <w:trPr>
          <w:cantSplit/>
        </w:trPr>
        <w:tc>
          <w:tcPr>
            <w:tcW w:type="dxa" w:w="40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Watts-Strogatz (k=16, p=0.1)</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301,600</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0.5117</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5.552</w:t>
            </w:r>
          </w:p>
        </w:tc>
        <w:tc>
          <w:tcPr>
            <w:tcW w:type="dxa" w:w="12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22</w:t>
            </w:r>
          </w:p>
        </w:tc>
      </w:tr>
      <w:tr>
        <w:trPr>
          <w:cantSplit/>
        </w:trPr>
        <w:tc>
          <w:tcPr>
            <w:tcW w:type="dxa" w:w="40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Degree-preserving configuration null</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289,003</w:t>
            </w:r>
          </w:p>
        </w:tc>
        <w:tc>
          <w:tcPr>
            <w:tcW w:type="dxa" w:w="16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0.0914</w:t>
            </w:r>
          </w:p>
        </w:tc>
        <w:tc>
          <w:tcPr>
            <w:tcW w:type="dxa" w:w="180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3.156</w:t>
            </w:r>
          </w:p>
        </w:tc>
        <w:tc>
          <w:tcPr>
            <w:tcW w:type="dxa" w:w="1240"/>
            <w:vAlign w:val="center"/>
            <w:tcMar>
              <w:top w:w="55" w:type="dxa"/>
              <w:bottom w:w="55" w:type="dxa"/>
              <w:start w:w="100" w:type="dxa"/>
              <w:end w:w="100" w:type="dxa"/>
            </w:tcMar>
          </w:tcPr>
          <w:p>
            <w:pPr>
              <w:spacing w:before="0" w:after="0"/>
              <w:jc w:val="right"/>
              <w:bidi/>
            </w:pPr>
            <w:r/>
            <w:r>
              <w:rPr>
                <w:rFonts w:ascii="Calibri" w:hAnsi="Calibri" w:cs="Arial"/>
                <w:b w:val="0"/>
                <w:i w:val="0"/>
                <w:color w:val="000000"/>
                <w:sz w:val="15"/>
              </w:rPr>
              <w:t>9458</w:t>
            </w:r>
          </w:p>
        </w:tc>
      </w:tr>
    </w:tbl>
    <w:p>
      <w:pPr>
        <w:spacing w:after="20"/>
      </w:pPr>
    </w:p>
    <w:p>
      <w:pPr>
        <w:keepNext/>
        <w:jc w:val="center"/>
      </w:pPr>
      <w:r>
        <w:drawing>
          <wp:inline xmlns:a="http://schemas.openxmlformats.org/drawingml/2006/main" xmlns:pic="http://schemas.openxmlformats.org/drawingml/2006/picture">
            <wp:extent cx="5394960" cy="2070029"/>
            <wp:docPr id="5" name="Picture 5"/>
            <wp:cNvGraphicFramePr>
              <a:graphicFrameLocks noChangeAspect="1"/>
            </wp:cNvGraphicFramePr>
            <a:graphic>
              <a:graphicData uri="http://schemas.openxmlformats.org/drawingml/2006/picture">
                <pic:pic>
                  <pic:nvPicPr>
                    <pic:cNvPr id="0" name="homophily_null_distribution.png"/>
                    <pic:cNvPicPr/>
                  </pic:nvPicPr>
                  <pic:blipFill>
                    <a:blip r:embed="rId15"/>
                    <a:stretch>
                      <a:fillRect/>
                    </a:stretch>
                  </pic:blipFill>
                  <pic:spPr>
                    <a:xfrm>
                      <a:off x="0" y="0"/>
                      <a:ext cx="5394960" cy="2070029"/>
                    </a:xfrm>
                    <a:prstGeom prst="rect"/>
                  </pic:spPr>
                </pic:pic>
              </a:graphicData>
            </a:graphic>
          </wp:inline>
        </w:drawing>
      </w:r>
    </w:p>
    <w:p>
      <w:pPr>
        <w:spacing w:before="20" w:after="60"/>
        <w:jc w:val="center"/>
        <w:bidi/>
      </w:pPr>
      <w:r>
        <w:rPr>
          <w:rFonts w:ascii="Calibri" w:hAnsi="Calibri" w:cs="Arial"/>
          <w:b w:val="0"/>
          <w:i/>
          <w:color w:val="5F6B7A"/>
          <w:sz w:val="15"/>
        </w:rPr>
        <w:t>איור 5. הומופיליה נצפית מול ערבוב תוויות וגרפים משמרי־דרגות.</w:t>
      </w:r>
    </w:p>
    <w:p>
      <w:pPr>
        <w:spacing w:after="60"/>
        <w:jc w:val="right"/>
        <w:keepNext w:val="0"/>
        <w:bidi/>
      </w:pPr>
      <w:r>
        <w:rPr>
          <w:rFonts w:ascii="Calibri" w:hAnsi="Calibri" w:cs="Arial"/>
          <w:b w:val="0"/>
          <w:i w:val="0"/>
          <w:color w:val="000000"/>
          <w:sz w:val="18"/>
        </w:rPr>
        <w:t>המודולריות הנצפית היא 0.453, מול 0.189 בממוצע בגרפים משמרי־דרגות (p=0.047619). Power Law נותן α=2.54; ההשוואה ללוג־נורמלית אינה מספקת בסיס להכרזה גורפת על scale-free, ולכן המסקנה הזהירה היא זנב כבד. ER אינו משחזר התקבצות או דרגת שיא; BA משחזר חלק מן הזנב; Small-World משחזר התקבצות ומרחקים קצרים; הגרף משמר־הדרגות מבודד את תרומת רצף הדרגות.</w:t>
      </w:r>
    </w:p>
    <w:p>
      <w:r>
        <w:br w:type="page"/>
      </w:r>
    </w:p>
    <w:p>
      <w:pPr>
        <w:pStyle w:val="Heading1"/>
        <w:jc w:val="right"/>
        <w:bidi/>
      </w:pPr>
      <w:r>
        <w:rPr>
          <w:rFonts w:ascii="Calibri" w:hAnsi="Calibri" w:cs="Arial"/>
          <w:b/>
          <w:i w:val="0"/>
          <w:color w:val="315C8D"/>
          <w:sz w:val="27"/>
        </w:rPr>
        <w:t>7. דיון מסכם ומגבלות</w:t>
      </w:r>
    </w:p>
    <w:p>
      <w:pPr>
        <w:spacing w:after="60"/>
        <w:jc w:val="right"/>
        <w:keepNext w:val="0"/>
        <w:bidi/>
      </w:pPr>
      <w:r>
        <w:rPr>
          <w:rFonts w:ascii="Calibri" w:hAnsi="Calibri" w:cs="Arial"/>
          <w:b w:val="0"/>
          <w:i w:val="0"/>
          <w:color w:val="000000"/>
          <w:sz w:val="18"/>
        </w:rPr>
        <w:t>התמונה המצטברת עקבית בין ארבע השאלות: יש קשר תיאורי חזק בין מבנה הרשת לתחום, קהילות והטמעות מוסיפות כוח חיזויי, ותוכן מספק אות חזק נוסף. מודלי האפס מראים שרצף הדרגות מסביר חלק מן ההומופיליה אך לא את כולה. בשחזור הקשתות, הצלחת Preferential Attachment עקבית עם חשיבות הדרגות, אך אינה מוכיחה שהעדפת צמתים בעלי דרגה גבוהה היא מנגנון יצירת הקשר.</w:t>
      </w:r>
    </w:p>
    <w:p>
      <w:pPr>
        <w:pStyle w:val="Heading2"/>
        <w:jc w:val="right"/>
        <w:bidi/>
      </w:pPr>
      <w:r>
        <w:rPr>
          <w:rFonts w:ascii="Calibri" w:hAnsi="Calibri" w:cs="Arial"/>
          <w:b/>
          <w:i w:val="0"/>
          <w:color w:val="315C8D"/>
          <w:sz w:val="22"/>
        </w:rPr>
        <w:t>מגבלות</w:t>
      </w:r>
    </w:p>
    <w:p>
      <w:pPr>
        <w:pStyle w:val="ListBullet"/>
        <w:spacing w:after="24"/>
        <w:ind w:left="317" w:hanging="202"/>
        <w:jc w:val="right"/>
        <w:bidi/>
      </w:pPr>
      <w:r>
        <w:rPr>
          <w:rFonts w:ascii="Calibri" w:hAnsi="Calibri" w:cs="Arial"/>
          <w:b w:val="0"/>
          <w:i w:val="0"/>
          <w:color w:val="000000"/>
          <w:sz w:val="17"/>
        </w:rPr>
        <w:t>הנתונים הם תמונת מצב מיוני 2019 ואינם מייצגים בהכרח את GitHub כיום.</w:t>
      </w:r>
    </w:p>
    <w:p>
      <w:pPr>
        <w:pStyle w:val="ListBullet"/>
        <w:spacing w:after="24"/>
        <w:ind w:left="317" w:hanging="202"/>
        <w:jc w:val="right"/>
        <w:bidi/>
      </w:pPr>
      <w:r>
        <w:rPr>
          <w:rFonts w:ascii="Calibri" w:hAnsi="Calibri" w:cs="Arial"/>
          <w:b w:val="0"/>
          <w:i w:val="0"/>
          <w:color w:val="000000"/>
          <w:sz w:val="17"/>
        </w:rPr>
        <w:t>תווית היעד בינארית ונגזרה ממידע פרופיל; ייתכן רעש וחסר בתחום המקצועי.</w:t>
      </w:r>
    </w:p>
    <w:p>
      <w:pPr>
        <w:pStyle w:val="ListBullet"/>
        <w:spacing w:after="24"/>
        <w:ind w:left="317" w:hanging="202"/>
        <w:jc w:val="right"/>
        <w:bidi/>
      </w:pPr>
      <w:r>
        <w:rPr>
          <w:rFonts w:ascii="Calibri" w:hAnsi="Calibri" w:cs="Arial"/>
          <w:b w:val="0"/>
          <w:i w:val="0"/>
          <w:color w:val="000000"/>
          <w:sz w:val="17"/>
        </w:rPr>
        <w:t>הסיווג transductive, ולכן אינו מדמה צומת חדש ללא קשרים ידועים.</w:t>
      </w:r>
    </w:p>
    <w:p>
      <w:pPr>
        <w:pStyle w:val="ListBullet"/>
        <w:spacing w:after="24"/>
        <w:ind w:left="317" w:hanging="202"/>
        <w:jc w:val="right"/>
        <w:bidi/>
      </w:pPr>
      <w:r>
        <w:rPr>
          <w:rFonts w:ascii="Calibri" w:hAnsi="Calibri" w:cs="Arial"/>
          <w:b w:val="0"/>
          <w:i w:val="0"/>
          <w:color w:val="000000"/>
          <w:sz w:val="17"/>
        </w:rPr>
        <w:t>Betweenness מחושב בקירוב, והטמעות נבדקו בתקציב פרמטרים קבוע ללא חיפוש רחב.</w:t>
      </w:r>
    </w:p>
    <w:p>
      <w:pPr>
        <w:pStyle w:val="ListBullet"/>
        <w:spacing w:after="24"/>
        <w:ind w:left="317" w:hanging="202"/>
        <w:jc w:val="right"/>
        <w:bidi/>
      </w:pPr>
      <w:r>
        <w:rPr>
          <w:rFonts w:ascii="Calibri" w:hAnsi="Calibri" w:cs="Arial"/>
          <w:b w:val="0"/>
          <w:i w:val="0"/>
          <w:color w:val="000000"/>
          <w:sz w:val="17"/>
        </w:rPr>
        <w:t>שחזור קשתות שהוסתרו אינו תחזית זמן ואינו מזהה סיבתיות או כיווניות.</w:t>
      </w:r>
    </w:p>
    <w:p>
      <w:pPr>
        <w:pStyle w:val="ListBullet"/>
        <w:spacing w:after="24"/>
        <w:ind w:left="317" w:hanging="202"/>
        <w:jc w:val="right"/>
        <w:bidi/>
      </w:pPr>
      <w:r>
        <w:rPr>
          <w:rFonts w:ascii="Calibri" w:hAnsi="Calibri" w:cs="Arial"/>
          <w:b w:val="0"/>
          <w:i w:val="0"/>
          <w:color w:val="000000"/>
          <w:sz w:val="17"/>
        </w:rPr>
        <w:t>מודלי האפס והמודלים הגנרטיביים מבודדים מאפיינים מסוימים ואינם תיאור מלא של תהליך הרשת.</w:t>
      </w:r>
    </w:p>
    <w:p>
      <w:pPr>
        <w:pStyle w:val="Heading2"/>
        <w:jc w:val="right"/>
        <w:bidi/>
      </w:pPr>
      <w:r>
        <w:rPr>
          <w:rFonts w:ascii="Calibri" w:hAnsi="Calibri" w:cs="Arial"/>
          <w:b/>
          <w:i w:val="0"/>
          <w:color w:val="315C8D"/>
          <w:sz w:val="22"/>
        </w:rPr>
        <w:t>מסקנות</w:t>
      </w:r>
    </w:p>
    <w:p>
      <w:pPr>
        <w:spacing w:after="60"/>
        <w:jc w:val="right"/>
        <w:keepNext w:val="0"/>
        <w:bidi/>
      </w:pPr>
      <w:r>
        <w:rPr>
          <w:rFonts w:ascii="Calibri" w:hAnsi="Calibri" w:cs="Arial"/>
          <w:b w:val="0"/>
          <w:i w:val="0"/>
          <w:color w:val="000000"/>
          <w:sz w:val="18"/>
        </w:rPr>
        <w:t>RQ1 נענה בחיוב מוגבל: מבנה הרשת מאפשר סיווג מעל קווי הבסיס. RQ2 מראה חפיפה חלקית ומידע משלים בין רשת לתוכן. RQ3 מראה ששחזור קשתות אפשרי תוך שמירת קשירות, והפער same/cross תלוי בשיטה ובפרוטוקול. RQ4 מראה שההומופיליה והמודולריות חריגות ביחס למודלי האפס שנבדקו. הממצאים תומכים בערך האנליטי של רשתות מקצועיות, תוך שמירה על ניסוח תיאורי וזהיר.</w:t>
      </w:r>
    </w:p>
    <w:p>
      <w:pPr>
        <w:pStyle w:val="Heading2"/>
        <w:jc w:val="right"/>
        <w:bidi/>
      </w:pPr>
      <w:r>
        <w:rPr>
          <w:rFonts w:ascii="Calibri" w:hAnsi="Calibri" w:cs="Arial"/>
          <w:b/>
          <w:i w:val="0"/>
          <w:color w:val="315C8D"/>
          <w:sz w:val="22"/>
        </w:rPr>
        <w:t>מקורות</w:t>
      </w:r>
    </w:p>
    <w:p>
      <w:pPr>
        <w:spacing w:after="12"/>
        <w:jc w:val="right"/>
        <w:keepNext w:val="0"/>
        <w:bidi/>
      </w:pPr>
      <w:r>
        <w:rPr>
          <w:rFonts w:ascii="Calibri" w:hAnsi="Calibri" w:cs="Arial"/>
          <w:b w:val="0"/>
          <w:i w:val="0"/>
          <w:color w:val="000000"/>
          <w:sz w:val="15"/>
        </w:rPr>
        <w:t>1. Rozemberczki, Allen &amp; Sarkar (2019), MUSAE.</w:t>
      </w:r>
    </w:p>
    <w:p>
      <w:pPr>
        <w:spacing w:after="12"/>
        <w:jc w:val="right"/>
        <w:keepNext w:val="0"/>
        <w:bidi/>
      </w:pPr>
      <w:r>
        <w:rPr>
          <w:rFonts w:ascii="Calibri" w:hAnsi="Calibri" w:cs="Arial"/>
          <w:b w:val="0"/>
          <w:i w:val="0"/>
          <w:color w:val="000000"/>
          <w:sz w:val="15"/>
        </w:rPr>
        <w:t>2. Blondel et al. (2008), Fast unfolding of communities.</w:t>
      </w:r>
    </w:p>
    <w:p>
      <w:pPr>
        <w:spacing w:after="12"/>
        <w:jc w:val="right"/>
        <w:keepNext w:val="0"/>
        <w:bidi/>
      </w:pPr>
      <w:r>
        <w:rPr>
          <w:rFonts w:ascii="Calibri" w:hAnsi="Calibri" w:cs="Arial"/>
          <w:b w:val="0"/>
          <w:i w:val="0"/>
          <w:color w:val="000000"/>
          <w:sz w:val="15"/>
        </w:rPr>
        <w:t>3. Perozzi, Al-Rfou &amp; Skiena (2014), DeepWalk.</w:t>
      </w:r>
    </w:p>
    <w:p>
      <w:pPr>
        <w:spacing w:after="12"/>
        <w:jc w:val="right"/>
        <w:keepNext w:val="0"/>
        <w:bidi/>
      </w:pPr>
      <w:r>
        <w:rPr>
          <w:rFonts w:ascii="Calibri" w:hAnsi="Calibri" w:cs="Arial"/>
          <w:b w:val="0"/>
          <w:i w:val="0"/>
          <w:color w:val="000000"/>
          <w:sz w:val="15"/>
        </w:rPr>
        <w:t>4. Grover &amp; Leskovec (2016), node2vec.</w:t>
      </w:r>
    </w:p>
    <w:p>
      <w:pPr>
        <w:spacing w:after="12"/>
        <w:jc w:val="right"/>
        <w:keepNext w:val="0"/>
        <w:bidi/>
      </w:pPr>
      <w:r>
        <w:rPr>
          <w:rFonts w:ascii="Calibri" w:hAnsi="Calibri" w:cs="Arial"/>
          <w:b w:val="0"/>
          <w:i w:val="0"/>
          <w:color w:val="000000"/>
          <w:sz w:val="15"/>
        </w:rPr>
        <w:t>5. Liben-Nowell &amp; Kleinberg (2003), Link Prediction.</w:t>
      </w:r>
    </w:p>
    <w:p>
      <w:pPr>
        <w:spacing w:after="12"/>
        <w:jc w:val="right"/>
        <w:keepNext w:val="0"/>
        <w:bidi/>
      </w:pPr>
      <w:r>
        <w:rPr>
          <w:rFonts w:ascii="Calibri" w:hAnsi="Calibri" w:cs="Arial"/>
          <w:b w:val="0"/>
          <w:i w:val="0"/>
          <w:color w:val="000000"/>
          <w:sz w:val="15"/>
        </w:rPr>
        <w:t>6. Clauset, Shalizi &amp; Newman (2009), Power-law distributions.</w:t>
      </w:r>
    </w:p>
    <w:p>
      <w:pPr>
        <w:spacing w:after="12"/>
        <w:jc w:val="right"/>
        <w:keepNext w:val="0"/>
        <w:bidi/>
      </w:pPr>
      <w:r>
        <w:rPr>
          <w:rFonts w:ascii="Calibri" w:hAnsi="Calibri" w:cs="Arial"/>
          <w:b w:val="0"/>
          <w:i w:val="0"/>
          <w:color w:val="000000"/>
          <w:sz w:val="15"/>
        </w:rPr>
        <w:t>7. Page et al. (1999), PageRank.</w:t>
      </w:r>
    </w:p>
    <w:p>
      <w:pPr>
        <w:spacing w:after="12"/>
        <w:jc w:val="right"/>
        <w:keepNext w:val="0"/>
        <w:bidi/>
      </w:pPr>
      <w:r>
        <w:rPr>
          <w:rFonts w:ascii="Calibri" w:hAnsi="Calibri" w:cs="Arial"/>
          <w:b w:val="0"/>
          <w:i w:val="0"/>
          <w:color w:val="000000"/>
          <w:sz w:val="15"/>
        </w:rPr>
        <w:t>8. מצגות ותרגולי הקורס: מרכזיות, קהילות, מודלי רשת, שחזור קשתות והטמעות.</w:t>
      </w:r>
    </w:p>
    <w:sectPr w:rsidR="00FC693F" w:rsidRPr="0006063C" w:rsidSect="00034616">
      <w:headerReference w:type="default" r:id="rId9"/>
      <w:footerReference w:type="default" r:id="rId10"/>
      <w:pgSz w:w="12240" w:h="15840"/>
      <w:pgMar w:top="900" w:right="900" w:bottom="900" w:left="90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pPr>
    <w:r>
      <w:rPr>
        <w:rFonts w:ascii="Calibri" w:hAnsi="Calibri" w:cs="Arial"/>
        <w:b w:val="0"/>
        <w:i w:val="0"/>
        <w:color w:val="5F6B7A"/>
        <w:sz w:val="16"/>
      </w:rPr>
      <w:t xml:space="preserve">עמוד </w:t>
    </w:r>
    <w:r>
      <w:rPr>
        <w:rFonts w:ascii="Calibri" w:hAnsi="Calibri" w:cs="Arial"/>
        <w:b w:val="0"/>
        <w:i w:val="0"/>
        <w:color w:val="5F6B7A"/>
        <w:sz w:val="16"/>
      </w:rPr>
      <w:fldChar w:fldCharType="begin"/>
      <w:instrText xml:space="preserve">PAGE</w:instrText>
      <w:fldChar w:fldCharType="separate"/>
      <w:t>1</w:t>
      <w:fldChar w:fldCharType="end"/>
    </w:r>
    <w:r>
      <w:rPr>
        <w:rFonts w:ascii="Calibri" w:hAnsi="Calibri" w:cs="Arial"/>
        <w:b w:val="0"/>
        <w:i w:val="0"/>
        <w:color w:val="5F6B7A"/>
        <w:sz w:val="16"/>
      </w:rPr>
      <w:t xml:space="preserve"> מתוך 8</w:t>
    </w:r>
    <w:r>
      <w:rPr>
        <w:rFonts w:ascii="Calibri" w:hAnsi="Calibri" w:cs="Arial"/>
        <w:b w:val="0"/>
        <w:i w:val="0"/>
        <w:color w:val="5F6B7A"/>
        <w:sz w:val="16"/>
      </w:rPr>
      <w:t xml:space="preserve">עמוד </w:t>
    </w:r>
    <w:r>
      <w:rPr>
        <w:rFonts w:ascii="Calibri" w:hAnsi="Calibri" w:cs="Arial"/>
        <w:b w:val="0"/>
        <w:i w:val="0"/>
        <w:color w:val="5F6B7A"/>
        <w:sz w:val="16"/>
      </w:rPr>
      <w:fldChar w:fldCharType="begin"/>
      <w:instrText xml:space="preserve">PAGE</w:instrText>
      <w:fldChar w:fldCharType="separate"/>
      <w:t>1</w:t>
      <w:fldChar w:fldCharType="end"/>
    </w:r>
    <w:r>
      <w:rPr>
        <w:rFonts w:ascii="Calibri" w:hAnsi="Calibri" w:cs="Arial"/>
        <w:b w:val="0"/>
        <w:i w:val="0"/>
        <w:color w:val="5F6B7A"/>
        <w:sz w:val="16"/>
      </w:rPr>
      <w:t xml:space="preserve"> מתוך 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pPr>
    <w:r>
      <w:rPr>
        <w:rFonts w:ascii="Calibri" w:hAnsi="Calibri" w:cs="Arial"/>
        <w:b w:val="0"/>
        <w:i w:val="0"/>
        <w:color w:val="5F6B7A"/>
        <w:sz w:val="15"/>
      </w:rPr>
      <w:t>תחום התמחות ברשת GitHub | פרויקט גמר</w:t>
    </w:r>
    <w:r>
      <w:rPr>
        <w:rFonts w:ascii="Calibri" w:hAnsi="Calibri" w:cs="Arial"/>
        <w:b w:val="0"/>
        <w:i w:val="0"/>
        <w:color w:val="5F6B7A"/>
        <w:sz w:val="15"/>
      </w:rPr>
      <w:t>תחום התמחות ברשת GitHub | פרויקט גמר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7" w:lineRule="auto"/>
    </w:pPr>
    <w:rPr>
      <w:rFonts w:ascii="Calibri" w:hAnsi="Calibri" w:cs="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cs="Arial"/>
      <w:b/>
      <w:bCs/>
      <w:color w:val="315C8D"/>
      <w:sz w:val="27"/>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cs="Arial"/>
      <w:b/>
      <w:bCs/>
      <w:color w:val="315C8D"/>
      <w:sz w:val="22"/>
      <w:szCs w:val="26"/>
    </w:rPr>
  </w:style>
  <w:style w:type="paragraph" w:styleId="Heading3">
    <w:name w:val="heading 3"/>
    <w:basedOn w:val="Normal"/>
    <w:next w:val="Normal"/>
    <w:link w:val="Heading3Char"/>
    <w:uiPriority w:val="9"/>
    <w:unhideWhenUsed/>
    <w:qFormat/>
    <w:rsid w:val="00FC693F"/>
    <w:pPr>
      <w:keepNext/>
      <w:keepLines/>
      <w:spacing w:before="80" w:after="30"/>
      <w:outlineLvl w:val="2"/>
    </w:pPr>
    <w:rPr>
      <w:rFonts w:asciiTheme="majorHAnsi" w:eastAsiaTheme="majorEastAsia" w:hAnsiTheme="majorHAnsi" w:cstheme="majorBidi" w:ascii="Calibri" w:hAnsi="Calibri" w:cs="Arial"/>
      <w:b/>
      <w:bCs/>
      <w:color w:val="172B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תחום התמחות של מפתחי GitHub מתוך רשת מעקב הדדית</dc:title>
  <dc:subject>Final project - network algorithms</dc:subject>
  <dc:creator>Noa Yarin Levy; Jimi Halawi; Ofir Atias</dc:creator>
  <cp:keywords/>
  <dc:description>generated by python-docx</dc:description>
  <cp:lastModifiedBy/>
  <cp:revision>1</cp:revision>
  <dcterms:created xsi:type="dcterms:W3CDTF">2013-12-23T23:15:00Z</dcterms:created>
  <dcterms:modified xsi:type="dcterms:W3CDTF">2013-12-23T23:15:00Z</dcterms:modified>
  <cp:category/>
</cp:coreProperties>
</file>