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Results and Discussion</w:t>
      </w:r>
    </w:p>
    <w:p/>
    <w:p>
      <w:pPr>
        <w:pStyle w:val="Heading1"/>
      </w:pPr>
      <w:r>
        <w:t>4.1 Introduction</w:t>
      </w:r>
    </w:p>
    <w:p>
      <w:r>
        <w:t>This chapter presents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b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within the context of existing literature on behavioral finance and sentiment analysis (Tetlock, 2007; Baker &amp; Wurgler, 2006).</w:t>
        <w:b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 (Bollen et al., 2011; Loughran &amp; McDonald, 2011).</w:t>
      </w:r>
    </w:p>
    <w:p>
      <w:pPr>
        <w:pStyle w:val="Heading1"/>
      </w:pPr>
      <w:r>
        <w:t>4.2 Data Collection and Processing Results</w:t>
      </w:r>
    </w:p>
    <w:p>
      <w:pPr>
        <w:pStyle w:val="Heading2"/>
      </w:pPr>
      <w:r>
        <w:t>4.2.1 Research Methodology and Data Sources</w:t>
      </w:r>
    </w:p>
    <w:p>
      <w: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The data spans a 24-month period from January 2023 to December 2024, providing sufficient temporal coverage for robust statistical analysis and model training.</w:t>
      </w:r>
    </w:p>
    <w:p>
      <w:pPr>
        <w:pStyle w:val="Heading2"/>
      </w:pPr>
      <w:r>
        <w:t>4.2.2 News Articles Collection</w:t>
      </w:r>
    </w:p>
    <w:p>
      <w:r>
        <w:t>The automated news scraping system successfully collected comprehensive financial news data from six major Ghanaian news sources, representing broad coverage of financial journalism in Ghana. The sources were strategically selected based on their market reach, journalistic credibility, frequency of financial reporting, and influence on investor sentiment. The collection yielded a total of 3,147 news articles over the 24-month analysis period, averaging 4.30 articles per day.</w:t>
      </w:r>
    </w:p>
    <w:p>
      <w:pPr>
        <w:pStyle w:val="Heading3"/>
      </w:pPr>
      <w:r>
        <w:t>Table 4.1: News Articles Collection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News Source</w:t>
            </w:r>
          </w:p>
        </w:tc>
        <w:tc>
          <w:tcPr>
            <w:tcW w:type="dxa" w:w="2160"/>
          </w:tcPr>
          <w:p>
            <w:r>
              <w:t>Articles Collected</w:t>
            </w:r>
          </w:p>
        </w:tc>
        <w:tc>
          <w:tcPr>
            <w:tcW w:type="dxa" w:w="2160"/>
          </w:tcPr>
          <w:p>
            <w:r>
              <w:t>Percentage</w:t>
            </w:r>
          </w:p>
        </w:tc>
        <w:tc>
          <w:tcPr>
            <w:tcW w:type="dxa" w:w="2160"/>
          </w:tcPr>
          <w:p>
            <w:r>
              <w:t>Average Daily Volume</w:t>
            </w:r>
          </w:p>
        </w:tc>
      </w:tr>
      <w:tr>
        <w:tc>
          <w:tcPr>
            <w:tcW w:type="dxa" w:w="2160"/>
          </w:tcPr>
          <w:p>
            <w:r>
              <w:t>GhanaWeb</w:t>
            </w:r>
          </w:p>
        </w:tc>
        <w:tc>
          <w:tcPr>
            <w:tcW w:type="dxa" w:w="2160"/>
          </w:tcPr>
          <w:p>
            <w:r>
              <w:t>847</w:t>
            </w:r>
          </w:p>
        </w:tc>
        <w:tc>
          <w:tcPr>
            <w:tcW w:type="dxa" w:w="2160"/>
          </w:tcPr>
          <w:p>
            <w:r>
              <w:t>26.9%</w:t>
            </w:r>
          </w:p>
        </w:tc>
        <w:tc>
          <w:tcPr>
            <w:tcW w:type="dxa" w:w="2160"/>
          </w:tcPr>
          <w:p>
            <w:r>
              <w:t>1.16</w:t>
            </w:r>
          </w:p>
        </w:tc>
      </w:tr>
      <w:tr>
        <w:tc>
          <w:tcPr>
            <w:tcW w:type="dxa" w:w="2160"/>
          </w:tcPr>
          <w:p>
            <w:r>
              <w:t>MyJoyOnline</w:t>
            </w:r>
          </w:p>
        </w:tc>
        <w:tc>
          <w:tcPr>
            <w:tcW w:type="dxa" w:w="2160"/>
          </w:tcPr>
          <w:p>
            <w:r>
              <w:t>623</w:t>
            </w:r>
          </w:p>
        </w:tc>
        <w:tc>
          <w:tcPr>
            <w:tcW w:type="dxa" w:w="2160"/>
          </w:tcPr>
          <w:p>
            <w:r>
              <w:t>19.8%</w:t>
            </w:r>
          </w:p>
        </w:tc>
        <w:tc>
          <w:tcPr>
            <w:tcW w:type="dxa" w:w="2160"/>
          </w:tcPr>
          <w:p>
            <w:r>
              <w:t>0.85</w:t>
            </w:r>
          </w:p>
        </w:tc>
      </w:tr>
      <w:tr>
        <w:tc>
          <w:tcPr>
            <w:tcW w:type="dxa" w:w="2160"/>
          </w:tcPr>
          <w:p>
            <w:r>
              <w:t>Citi FM</w:t>
            </w:r>
          </w:p>
        </w:tc>
        <w:tc>
          <w:tcPr>
            <w:tcW w:type="dxa" w:w="2160"/>
          </w:tcPr>
          <w:p>
            <w:r>
              <w:t>456</w:t>
            </w:r>
          </w:p>
        </w:tc>
        <w:tc>
          <w:tcPr>
            <w:tcW w:type="dxa" w:w="2160"/>
          </w:tcPr>
          <w:p>
            <w:r>
              <w:t>14.5%</w:t>
            </w:r>
          </w:p>
        </w:tc>
        <w:tc>
          <w:tcPr>
            <w:tcW w:type="dxa" w:w="2160"/>
          </w:tcPr>
          <w:p>
            <w:r>
              <w:t>0.62</w:t>
            </w:r>
          </w:p>
        </w:tc>
      </w:tr>
      <w:tr>
        <w:tc>
          <w:tcPr>
            <w:tcW w:type="dxa" w:w="2160"/>
          </w:tcPr>
          <w:p>
            <w:r>
              <w:t>Joy News</w:t>
            </w:r>
          </w:p>
        </w:tc>
        <w:tc>
          <w:tcPr>
            <w:tcW w:type="dxa" w:w="2160"/>
          </w:tcPr>
          <w:p>
            <w:r>
              <w:t>521</w:t>
            </w:r>
          </w:p>
        </w:tc>
        <w:tc>
          <w:tcPr>
            <w:tcW w:type="dxa" w:w="2160"/>
          </w:tcPr>
          <w:p>
            <w:r>
              <w:t>16.6%</w:t>
            </w:r>
          </w:p>
        </w:tc>
        <w:tc>
          <w:tcPr>
            <w:tcW w:type="dxa" w:w="2160"/>
          </w:tcPr>
          <w:p>
            <w:r>
              <w:t>0.71</w:t>
            </w:r>
          </w:p>
        </w:tc>
      </w:tr>
      <w:tr>
        <w:tc>
          <w:tcPr>
            <w:tcW w:type="dxa" w:w="2160"/>
          </w:tcPr>
          <w:p>
            <w:r>
              <w:t>Graphic Online</w:t>
            </w:r>
          </w:p>
        </w:tc>
        <w:tc>
          <w:tcPr>
            <w:tcW w:type="dxa" w:w="2160"/>
          </w:tcPr>
          <w:p>
            <w:r>
              <w:t>389</w:t>
            </w:r>
          </w:p>
        </w:tc>
        <w:tc>
          <w:tcPr>
            <w:tcW w:type="dxa" w:w="2160"/>
          </w:tcPr>
          <w:p>
            <w:r>
              <w:t>12.4%</w:t>
            </w:r>
          </w:p>
        </w:tc>
        <w:tc>
          <w:tcPr>
            <w:tcW w:type="dxa" w:w="2160"/>
          </w:tcPr>
          <w:p>
            <w:r>
              <w:t>0.53</w:t>
            </w:r>
          </w:p>
        </w:tc>
      </w:tr>
      <w:tr>
        <w:tc>
          <w:tcPr>
            <w:tcW w:type="dxa" w:w="2160"/>
          </w:tcPr>
          <w:p>
            <w:r>
              <w:t>Daily Graphic</w:t>
            </w:r>
          </w:p>
        </w:tc>
        <w:tc>
          <w:tcPr>
            <w:tcW w:type="dxa" w:w="2160"/>
          </w:tcPr>
          <w:p>
            <w:r>
              <w:t>311</w:t>
            </w:r>
          </w:p>
        </w:tc>
        <w:tc>
          <w:tcPr>
            <w:tcW w:type="dxa" w:w="2160"/>
          </w:tcPr>
          <w:p>
            <w:r>
              <w:t>9.8%</w:t>
            </w:r>
          </w:p>
        </w:tc>
        <w:tc>
          <w:tcPr>
            <w:tcW w:type="dxa" w:w="2160"/>
          </w:tcPr>
          <w:p>
            <w:r>
              <w:t>0.43</w:t>
            </w:r>
          </w:p>
        </w:tc>
      </w:tr>
      <w:tr>
        <w:tc>
          <w:tcPr>
            <w:tcW w:type="dxa" w:w="2160"/>
          </w:tcPr>
          <w:p>
            <w:r>
              <w:t>Total</w:t>
            </w:r>
          </w:p>
        </w:tc>
        <w:tc>
          <w:tcPr>
            <w:tcW w:type="dxa" w:w="2160"/>
          </w:tcPr>
          <w:p>
            <w:r>
              <w:t>3,147</w:t>
            </w:r>
          </w:p>
        </w:tc>
        <w:tc>
          <w:tcPr>
            <w:tcW w:type="dxa" w:w="2160"/>
          </w:tcPr>
          <w:p>
            <w:r>
              <w:t>100%</w:t>
            </w:r>
          </w:p>
        </w:tc>
        <w:tc>
          <w:tcPr>
            <w:tcW w:type="dxa" w:w="2160"/>
          </w:tcPr>
          <w:p>
            <w:r>
              <w:t>4.30</w:t>
            </w:r>
          </w:p>
        </w:tc>
      </w:tr>
    </w:tbl>
    <w:p>
      <w:r>
        <w:t>Note: Daily volume calculated over 730-day collection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