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DOCUMENTO 3 DE 5</w:t>
      </w:r>
    </w:p>
    <w:p>
      <w:pPr>
        <w:spacing w:after="40"/>
        <w:jc w:val="center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  <w:spacing w:val="60"/>
        </w:rPr>
        <w:t xml:space="preserve">UNISTYLES CURAÇAO · RESEARCH</w:t>
      </w:r>
    </w:p>
    <w:p>
      <w:pPr>
        <w:spacing w:before="120" w:after="120"/>
        <w:jc w:val="center"/>
      </w:pPr>
      <w:r>
        <w:rPr>
          <w:b/>
          <w:bCs/>
          <w:color w:val="2A2320"/>
          <w:sz w:val="52"/>
          <w:szCs w:val="52"/>
          <w:rFonts w:ascii="Georgia" w:cs="Georgia" w:eastAsia="Georgia" w:hAnsi="Georgia"/>
        </w:rPr>
        <w:t xml:space="preserve">Checklist de Research</w:t>
      </w:r>
    </w:p>
    <w:p>
      <w:pPr>
        <w:pBdr>
          <w:bottom w:val="single" w:color="B8923E" w:sz="18" w:space="8"/>
        </w:pBdr>
        <w:spacing w:after="160"/>
        <w:jc w:val="center"/>
      </w:pPr>
      <w:r>
        <w:t xml:space="preserve"/>
      </w:r>
    </w:p>
    <w:p>
      <w:pPr>
        <w:spacing w:after="400"/>
        <w:jc w:val="center"/>
      </w:pPr>
      <w:r>
        <w:rPr>
          <w:i/>
          <w:iCs/>
          <w:color w:val="6B625C"/>
          <w:sz w:val="24"/>
          <w:szCs w:val="24"/>
          <w:rFonts w:ascii="Calibri" w:cs="Calibri" w:eastAsia="Calibri" w:hAnsi="Calibri"/>
        </w:rPr>
        <w:t xml:space="preserve">Qué investigar antes de decidir diseño, UX y estrategia de frontend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Preparado para: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Paula + equipo UX/UI, front-end y marketing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Fecha: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31 de julio de 2026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Uso: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Lista de investigación — insumo para el Documento 4 (deep research)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Enfoque: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Frontend strategy analysis para el mercado de Curaçao</w:t>
      </w:r>
    </w:p>
    <w:p>
      <w:r>
        <w:br w:type="page"/>
      </w:r>
    </w:p>
    <w:p>
      <w:pPr>
        <w:spacing w:after="120"/>
      </w:pPr>
      <w:r>
        <w:rPr>
          <w:b/>
          <w:bCs/>
          <w:color w:val="1B4D4F"/>
          <w:sz w:val="28"/>
          <w:szCs w:val="28"/>
          <w:rFonts w:ascii="Georgia" w:cs="Georgia" w:eastAsia="Georgia" w:hAnsi="Georgia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Para qué sirve este documento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Antes de rediseñar o pulir la tienda, conviene DECIDIR con datos, no con supuestos. Este documento lista TODO lo que vale la pena investigar, agrupado por tema. No son respuestas: son las preguntas correctas que tu equipo debe responder con investigación.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Cada punto trae: la pregunta, por qué importa, cómo investigarlo y su prioridad. Marca la casilla cuando el tema esté investigado. Los hallazgos alimentarán el Documento 4 (deep research + brainstorming) y el Documento 5 (plan de acción).</w:t>
      </w:r>
    </w:p>
    <w:tbl>
      <w:tblPr>
        <w:tblW w:type="dxa" w:w="9020"/>
        <w:tblBorders>
          <w:top w:val="single" w:color="F5F0E8" w:sz="2"/>
          <w:left w:val="single" w:color="B8923E" w:sz="28"/>
          <w:bottom w:val="single" w:color="F5F0E8" w:sz="2"/>
          <w:right w:val="single" w:color="F5F0E8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F5F0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B4D4F"/>
                <w:sz w:val="21"/>
                <w:szCs w:val="21"/>
                <w:rFonts w:ascii="Calibri" w:cs="Calibri" w:eastAsia="Calibri" w:hAnsi="Calibri"/>
              </w:rPr>
              <w:t xml:space="preserve">Cómo usarlo con tu equipo</w:t>
            </w:r>
          </w:p>
          <w:p>
            <w:pPr>
              <w:spacing w:after="6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1. Reparte las áreas por rol (UX toma A–C y F; marketing toma D, H, I; front-end toma F–G).</w:t>
            </w:r>
          </w:p>
          <w:p>
            <w:pPr>
              <w:spacing w:after="6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2. Cada responsable llena "hallazgos" con evidencia (link, dato, cita de cliente).</w:t>
            </w:r>
          </w:p>
          <w:p>
            <w:pPr>
              <w:spacing w:after="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3. Lo importante pasa al Documento 4 como pregunta de investigación priorizada.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A. Cliente y mercado de Curaçao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Entender a fondo a quién le vendes y el contexto local.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A1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¿Quién es exactamente la clienta principal (edad, ingreso, ubicación, hábitos)?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Todas las decisiones de diseño y catálogo dependen de esto.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Entrevistas a 5–8 clientas actuales + analizar datos de ventas/WhatsApp existentes.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A2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¿Compra para sí misma o también regala? ¿Ocasiones clave (cumpleaños, fiestas, Sinterklaas)?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promociones, bundles y calendario comercial.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corta + revisión de picos de venta por fecha.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A3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tan digital es? ¿Compra ya en línea o prefiere WhatsApp/presencial?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Decide cuánto empujar el checkout online vs. el pedido por WhatsApp.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+ observar cómo llegan hoy los pedidos.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A4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frena hoy la compra en línea en Curaçao (desconfianza, envío, pago)?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Son las barreras que el sitio debe derribar.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Preguntar directamente ("¿qué te haría dudar de comprar aquí?").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B. Pagos y comportamiento de compra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Cómo prefiere pagar tu clienta y cómo reducir fricción.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B1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método de pago prefiere realmente (Sentoo, tarjeta, transferencia MCB, contra-entrega, WhatsApp)?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Prioriza qué método destacar y probar primero.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+ analizar métodos usados en pedidos previos.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B2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¿Confía en pagar en línea o prefiere pagar al recibir?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si contra-entrega debe ser la opción por defecto al inicio.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Entrevistas + prueba A/B del método por defecto tras lanzar.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B3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¿Cuál es el ticket promedio esperado y el umbral psicológico de "envío gratis"?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Ajusta los umbrales de envío gratis por zona (hoy 75/100/150 XCG).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Análisis de ventas + prueba de distintos umbrales.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B4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¿Dónde se abandona el checkout (qué paso genera dudas)?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Reduce el abandono de carrito.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Analítica de embudo + pruebas de usabilidad moderadas.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C. Delivery y expectativas de entrega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La logística es un diferenciador clave en una isla. Tu foco declarado.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C1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tiempo de entrega espera la clienta por zona (mismo día, 1–2 días)?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Alinea la promesa del sitio con lo operable.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+ benchmark de otros comercios locales.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C2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¿Cuánto está dispuesta a pagar por envío antes de abandonar?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Valida las tarifas actuales (5/10/25 XCG).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de sensibilidad al precio + prueba de tarifas.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C3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¿Prefiere elegir franja horaria o entrega estándar?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Decide si construir agenda de entrega (US-D6).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Preguntar preferencia + medir demanda.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C4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¿Cómo se hará la operación real (repartidor propio, courier, retiro en tienda)?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el modelo operativo que el sistema debe soportar.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Mapear costos y opciones de reparto en Curaçao.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C5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¿Las 3 zonas y sus barrios reflejan bien la isla?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Evita cobrar de menos/más o rechazar direcciones válidas.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Validar polígonos y lista de barrios con conocimiento local.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D. Idioma y localización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Curaçao es multilingüe (papiamentu, neerlandés, español, inglés).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D1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¿En qué idioma prefiere comprar tu clienta principal?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el idioma por defecto de la interfaz (hoy está en inglés).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Encuesta + preferencia de idioma en WhatsApp.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D2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¿Vale la pena una tienda multi-idioma o basta con uno o dos?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Evita esfuerzo de traducción innecesario o insuficiente.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Estimar demanda por idioma vs. costo de traducir.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D3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moneda y formato esperan (XCG/ANG, florines)?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Claridad de precios y confianza.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Benchmark local + preguntar a clientas.</w:t>
      </w:r>
    </w:p>
    <w:p>
      <w:pPr>
        <w:spacing w:after="80"/>
        <w:ind w:left="360"/>
      </w:pPr>
      <w:r>
        <w:rPr>
          <w:b/>
          <w:bCs/>
          <w:color w:val="6B625C"/>
          <w:sz w:val="17"/>
          <w:szCs w:val="17"/>
          <w:rFonts w:ascii="Calibri" w:cs="Calibri" w:eastAsia="Calibri" w:hAnsi="Calibri"/>
        </w:rPr>
        <w:t xml:space="preserve">BAJA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E. Confianza y credibilidad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En compras íntimas (lencería, belleza) la confianza es decisiva.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E1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señales de confianza necesita ver (reseñas, garantías, devoluciones, contacto real)?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Determina qué mostrar en producto y checkout.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Entrevistas + análisis de tiendas que ella ya confía.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E2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¿Cómo se siente respecto a privacidad al comprar productos íntimos?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discreción en empaque, comunicación y datos.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Entrevistas sensibles + política de privacidad clara.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E3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política de devoluciones espera para ropa interior/belleza?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Reduce el miedo a equivocarse de talla.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Benchmark + definir política viable.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F. UX, usabilidad y móvil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La mayoría comprará desde el teléfono. La experiencia móvil es prioritaria.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F1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¿El recorrido de compra es claro y rápido en móvil?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El móvil domina; la fricción cuesta ventas.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Pruebas de usabilidad en móvil con 5 usuarias reales.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F2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¿Cómo encuentra productos (busca, navega por categoría, por marca)?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Prioriza búsqueda vs. navegación vs. filtros.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Test de árbol (tree testing) + analítica de navegación.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F3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¿La guía de tallas es suficiente para comprar sin miedo?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La talla es la barrera #1 en lencería.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Pruebas de usabilidad + comparar guías de la competencia.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F4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espera del quiz de fragancias/skincare? ¿Lo usa?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Valida si el quiz ayuda a decidir o estorba.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Observar uso del quiz + medir conversión con/sin.</w:t>
      </w:r>
    </w:p>
    <w:p>
      <w:pPr>
        <w:spacing w:after="80"/>
        <w:ind w:left="360"/>
      </w:pPr>
      <w:r>
        <w:rPr>
          <w:b/>
          <w:bCs/>
          <w:color w:val="6B625C"/>
          <w:sz w:val="17"/>
          <w:szCs w:val="17"/>
          <w:rFonts w:ascii="Calibri" w:cs="Calibri" w:eastAsia="Calibri" w:hAnsi="Calibri"/>
        </w:rPr>
        <w:t xml:space="preserve">BAJA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G. Producto, fotografía y contenido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Cómo se presenta cada producto influye directamente en la venta.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G1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calidad y estilo de foto genera más confianza y deseo?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La foto es lo que "vende" en línea.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Prueba de estilos (modelo vs. producto solo) + medir clics.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G2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información necesita ver de cada producto (material, tallaje, cuidados)?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Completa las fichas y reduce dudas.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Analizar preguntas frecuentes en WhatsApp.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G3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¿Cómo organizar categorías y variantes para que sea fácil elegir?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Arquitectura de información del catálogo.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Card sorting con clientas.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H. Competencia y posicionamiento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Saber contra quién compites y cómo diferenciarte.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H1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¿Quiénes son los competidores en Curaçao (tiendas locales, Insta-shops, importados)?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Define tu diferenciador y precio.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Mapa de competidores + benchmark de precios y envío.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H2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hacen mejor y peor que tú (web, envío, precio, atención)?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Oportunidades claras de diferenciación.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Análisis comparativo (comprar como cliente misteriosa).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H3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¿Cuál es tu propuesta de valor única frente a comprar afuera/online internacional?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El mensaje central de toda la tienda.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Taller de posicionamiento con el equipo (Doc 4).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I. Marketing, adquisición y SEO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Cómo te encuentran y cómo vuelven.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I1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¿Dónde está tu clienta (Instagram, Facebook, WhatsApp, TikTok)?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Enfoca el esfuerzo de marketing.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Analítica de redes + encuesta.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I2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busca en Google para encontrar estos productos en Curaçao?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Palabras clave para SEO local.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Investigación de keywords + Google Trends local.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I3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la haría volver a comprar (fidelidad, ofertas, novedades)?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Estrategia de retención.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Entrevistas + prueba de programa de fidelidad.</w:t>
      </w:r>
    </w:p>
    <w:p>
      <w:pPr>
        <w:spacing w:after="80"/>
        <w:ind w:left="360"/>
      </w:pPr>
      <w:r>
        <w:rPr>
          <w:b/>
          <w:bCs/>
          <w:color w:val="6B625C"/>
          <w:sz w:val="17"/>
          <w:szCs w:val="17"/>
          <w:rFonts w:ascii="Calibri" w:cs="Calibri" w:eastAsia="Calibri" w:hAnsi="Calibri"/>
        </w:rPr>
        <w:t xml:space="preserve">BAJA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J. Legal, accesibilidad y métricas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Requisitos de cumplimiento y cómo medir el éxito.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J1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exige la ley de Curaçao sobre privacidad, cookies y ventas en línea?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Cumplimiento y confianza.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Asesoría legal local + revisar tiendas locales.</w:t>
      </w:r>
    </w:p>
    <w:p>
      <w:pPr>
        <w:spacing w:after="80"/>
        <w:ind w:left="360"/>
      </w:pPr>
      <w:r>
        <w:rPr>
          <w:b/>
          <w:bCs/>
          <w:color w:val="B7791F"/>
          <w:sz w:val="17"/>
          <w:szCs w:val="17"/>
          <w:rFonts w:ascii="Calibri" w:cs="Calibri" w:eastAsia="Calibri" w:hAnsi="Calibri"/>
        </w:rPr>
        <w:t xml:space="preserve">MEDIA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J2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¿La tienda es usable para personas con baja visión o conexión lenta?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Accesibilidad e inclusión amplían el mercado.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Auditoría de accesibilidad + prueba en 4G.</w:t>
      </w:r>
    </w:p>
    <w:p>
      <w:pPr>
        <w:spacing w:after="80"/>
        <w:ind w:left="360"/>
      </w:pPr>
      <w:r>
        <w:rPr>
          <w:b/>
          <w:bCs/>
          <w:color w:val="6B625C"/>
          <w:sz w:val="17"/>
          <w:szCs w:val="17"/>
          <w:rFonts w:ascii="Calibri" w:cs="Calibri" w:eastAsia="Calibri" w:hAnsi="Calibri"/>
        </w:rPr>
        <w:t xml:space="preserve">BAJA</w:t>
      </w:r>
    </w:p>
    <w:p>
      <w:pPr>
        <w:spacing w:before="120" w:after="3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J3  </w:t>
      </w:r>
      <w:r>
        <w:rPr>
          <w:b/>
          <w:bCs/>
          <w:color w:val="2A2320"/>
          <w:sz w:val="21"/>
          <w:szCs w:val="21"/>
          <w:rFonts w:ascii="Calibri" w:cs="Calibri" w:eastAsia="Calibri" w:hAnsi="Calibri"/>
        </w:rPr>
        <w:t xml:space="preserve">¿Qué métricas definen el éxito (conversión, ticket, recompra, abandono)?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Por qué importa: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Para saber si el sitio funciona tras lanzar.</w:t>
      </w:r>
    </w:p>
    <w:p>
      <w:pPr>
        <w:spacing w:after="24"/>
        <w:ind w:left="360"/>
      </w:pP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Cómo investigarlo: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Definir KPIs + instalar analítica antes del lanzamiento.</w:t>
      </w:r>
    </w:p>
    <w:p>
      <w:pPr>
        <w:spacing w:after="80"/>
        <w:ind w:left="360"/>
      </w:pPr>
      <w:r>
        <w:rPr>
          <w:b/>
          <w:bCs/>
          <w:color w:val="B23A3A"/>
          <w:sz w:val="17"/>
          <w:szCs w:val="17"/>
          <w:rFonts w:ascii="Calibri" w:cs="Calibri" w:eastAsia="Calibri" w:hAnsi="Calibri"/>
        </w:rPr>
        <w:t xml:space="preserve">PRIORIDAD ALTA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Resumen de prioridades de research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Empieza por las de PRIORIDAD ALTA: son las que más cambian las decisiones de diseño y estrategia.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1700"/>
        <w:gridCol w:w="7320"/>
      </w:tblGrid>
      <w:tr>
        <w:trPr>
          <w:tblHeader/>
        </w:trPr>
        <w:tc>
          <w:tcPr>
            <w:tcW w:type="dxa" w:w="17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Prioridad</w:t>
            </w:r>
          </w:p>
        </w:tc>
        <w:tc>
          <w:tcPr>
            <w:tcW w:type="dxa" w:w="732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Temas a investigar primero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B23A3A"/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tcW w:type="dxa" w:w="7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A1, A3, A4, B1, B2, C1, C2, C4, D1, E1, F1, F3, G1, H1, H3, I1, J3</w:t>
            </w:r>
          </w:p>
        </w:tc>
      </w:tr>
      <w:tr>
        <w:tc>
          <w:tcPr>
            <w:tcW w:type="dxa" w:w="17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B7791F"/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73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A2, B3, B4, C3, C5, D2, E2, E3, F2, G2, G3, H2, I2, J1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6B625C"/>
                <w:sz w:val="18"/>
                <w:szCs w:val="18"/>
                <w:rFonts w:ascii="Calibri" w:cs="Calibri" w:eastAsia="Calibri" w:hAnsi="Calibri"/>
              </w:rPr>
              <w:t xml:space="preserve">BAJA</w:t>
            </w:r>
          </w:p>
        </w:tc>
        <w:tc>
          <w:tcPr>
            <w:tcW w:type="dxa" w:w="7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D3, F4, I3, J2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020"/>
        <w:tblBorders>
          <w:top w:val="single" w:color="F5F0E8" w:sz="2"/>
          <w:left w:val="single" w:color="1B4D4F" w:sz="28"/>
          <w:bottom w:val="single" w:color="F5F0E8" w:sz="2"/>
          <w:right w:val="single" w:color="F5F0E8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F5F0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B4D4F"/>
                <w:sz w:val="21"/>
                <w:szCs w:val="21"/>
                <w:rFonts w:ascii="Calibri" w:cs="Calibri" w:eastAsia="Calibri" w:hAnsi="Calibri"/>
              </w:rPr>
              <w:t xml:space="preserve">Siguiente paso</w:t>
            </w:r>
          </w:p>
          <w:p>
            <w:pPr>
              <w:spacing w:after="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Cuando tengas hallazgos de los temas ALTA, pásalos al Documento 4. Ahí se convierten en preguntas de investigación con sub-preguntas para la sesión de brainstorming con tu equipo, y en "How Might We" para idear soluciones.</w:t>
            </w:r>
          </w:p>
        </w:tc>
      </w:tr>
    </w:tbl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DACE" w:sz="6" w:space="6"/>
      </w:pBdr>
      <w:jc w:val="center"/>
    </w:pPr>
    <w:r>
      <w:rPr>
        <w:color w:val="6B625C"/>
        <w:sz w:val="16"/>
        <w:szCs w:val="16"/>
        <w:rFonts w:ascii="Calibri" w:cs="Calibri" w:eastAsia="Calibri" w:hAnsi="Calibri"/>
      </w:rPr>
      <w:t xml:space="preserve">Unistyles Curaçao  ·  </w:t>
    </w:r>
    <w:r>
      <w:rPr>
        <w:i/>
        <w:iCs/>
        <w:color w:val="6B625C"/>
        <w:sz w:val="16"/>
        <w:szCs w:val="16"/>
        <w:rFonts w:ascii="Calibri" w:cs="Calibri" w:eastAsia="Calibri" w:hAnsi="Calibri"/>
      </w:rPr>
      <w:t xml:space="preserve">Checklist de Research (Frontend Strategy)</w:t>
    </w:r>
    <w:r>
      <w:rPr>
        <w:color w:val="6B625C"/>
        <w:sz w:val="16"/>
        <w:szCs w:val="16"/>
        <w:rFonts w:ascii="Calibri" w:cs="Calibri" w:eastAsia="Calibri" w:hAnsi="Calibri"/>
      </w:rPr>
      <w:t xml:space="preserve">   ·   </w:t>
    </w:r>
    <w:r>
      <w:rPr>
        <w:color w:val="6B625C"/>
        <w:sz w:val="16"/>
        <w:szCs w:val="16"/>
        <w:rFonts w:ascii="Calibri" w:cs="Calibri" w:eastAsia="Calibri" w:hAnsi="Calibri"/>
      </w:rPr>
      <w:t xml:space="preserve">Pág.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B8923E"/>
      </w:rPr>
    </w:lvl>
    <w:lvl w:ilvl="1" w15:tentative="1">
      <w:start w:val="1"/>
      <w:numFmt w:val="bullet"/>
      <w:lvlText w:val="–"/>
      <w:lvlJc w:val="left"/>
      <w:pPr>
        <w:ind w:left="900" w:hanging="240"/>
      </w:pPr>
      <w:rPr>
        <w:color w:val="1B4D4F"/>
      </w:rPr>
    </w:lvl>
    <w:lvl w:ilvl="2" w15:tentative="1">
      <w:start w:val="1"/>
      <w:numFmt w:val="bullet"/>
      <w:lvlText w:val="▪"/>
      <w:lvlJc w:val="left"/>
      <w:pPr>
        <w:ind w:left="13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  <w:lvl w:ilvl="1" w15:tentative="1">
      <w:start w:val="1"/>
      <w:numFmt w:val="lowerLetter"/>
      <w:lvlText w:val="%2."/>
      <w:lvlJc w:val="start"/>
      <w:pPr>
        <w:ind w:left="9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A2320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B4D4F"/>
      <w:sz w:val="30"/>
      <w:szCs w:val="30"/>
      <w:rFonts w:ascii="Georgia" w:cs="Georgia" w:eastAsia="Georgia" w:hAnsi="Georgia"/>
    </w:rPr>
  </w:style>
  <w:style w:type="paragraph" w:styleId="Heading2">
    <w:name w:val="Heading 2"/>
    <w:basedOn w:val="Normal"/>
    <w:next w:val="Normal"/>
    <w:qFormat/>
    <w:rPr>
      <w:b/>
      <w:bCs/>
      <w:color w:val="B8923E"/>
      <w:sz w:val="25"/>
      <w:szCs w:val="25"/>
      <w:rFonts w:ascii="Georgia" w:cs="Georgia" w:eastAsia="Georgia" w:hAnsi="Georg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de Research (Frontend Strategy)</dc:title>
  <dc:creator>Claude Code — Unistyles</dc:creator>
  <dc:description>Checklist de Research (Frontend Strategy)</dc:description>
  <cp:lastModifiedBy>Un-named</cp:lastModifiedBy>
  <cp:revision>1</cp:revision>
  <dcterms:created xsi:type="dcterms:W3CDTF">2026-07-31T13:18:33.782Z</dcterms:created>
  <dcterms:modified xsi:type="dcterms:W3CDTF">2026-07-31T13:18:33.783Z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