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B8923E"/>
          <w:sz w:val="20"/>
          <w:szCs w:val="20"/>
          <w:rFonts w:ascii="Calibri" w:cs="Calibri" w:eastAsia="Calibri" w:hAnsi="Calibri"/>
        </w:rPr>
        <w:t xml:space="preserve">DOCUMENTO 5 DE 5</w:t>
      </w:r>
    </w:p>
    <w:p>
      <w:pPr>
        <w:spacing w:after="40"/>
        <w:jc w:val="center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  <w:spacing w:val="60"/>
        </w:rPr>
        <w:t xml:space="preserve">UNISTYLES CURAÇAO · PLAN DE ACCIÓN</w:t>
      </w:r>
    </w:p>
    <w:p>
      <w:pPr>
        <w:spacing w:before="120" w:after="120"/>
        <w:jc w:val="center"/>
      </w:pPr>
      <w:r>
        <w:rPr>
          <w:b/>
          <w:bCs/>
          <w:color w:val="2A2320"/>
          <w:sz w:val="52"/>
          <w:szCs w:val="52"/>
          <w:rFonts w:ascii="Georgia" w:cs="Georgia" w:eastAsia="Georgia" w:hAnsi="Georgia"/>
        </w:rPr>
        <w:t xml:space="preserve">Action Plan</w:t>
      </w:r>
    </w:p>
    <w:p>
      <w:pPr>
        <w:pBdr>
          <w:bottom w:val="single" w:color="B8923E" w:sz="18" w:space="8"/>
        </w:pBdr>
        <w:spacing w:after="160"/>
        <w:jc w:val="center"/>
      </w:pPr>
      <w:r>
        <w:t xml:space="preserve"/>
      </w:r>
    </w:p>
    <w:p>
      <w:pPr>
        <w:spacing w:after="400"/>
        <w:jc w:val="center"/>
      </w:pPr>
      <w:r>
        <w:rPr>
          <w:i/>
          <w:iCs/>
          <w:color w:val="6B625C"/>
          <w:sz w:val="24"/>
          <w:szCs w:val="24"/>
          <w:rFonts w:ascii="Calibri" w:cs="Calibri" w:eastAsia="Calibri" w:hAnsi="Calibri"/>
        </w:rPr>
        <w:t xml:space="preserve">Del brainstorming a la ejecución — marco Double Diamond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Preparado para: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Paula + equipo (UX/UI · Front · Back · Marketing · Diseño)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Fecha: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31 de julio de 2026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Marco principal: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Double Diamond (+ Design Thinking, Lean UX, JTBD, RICE, Agile)</w:t>
      </w:r>
    </w:p>
    <w:p>
      <w:pPr>
        <w:spacing w:after="40"/>
        <w:jc w:val="center"/>
      </w:pPr>
      <w:r>
        <w:rPr>
          <w:b/>
          <w:bCs/>
          <w:color w:val="1B4D4F"/>
          <w:sz w:val="19"/>
          <w:szCs w:val="19"/>
          <w:rFonts w:ascii="Calibri" w:cs="Calibri" w:eastAsia="Calibri" w:hAnsi="Calibri"/>
        </w:rPr>
        <w:t xml:space="preserve">Conecta con:  </w:t>
      </w:r>
      <w:r>
        <w:rPr>
          <w:color w:val="2A2320"/>
          <w:sz w:val="19"/>
          <w:szCs w:val="19"/>
          <w:rFonts w:ascii="Calibri" w:cs="Calibri" w:eastAsia="Calibri" w:hAnsi="Calibri"/>
        </w:rPr>
        <w:t xml:space="preserve">Documentos 1–4</w:t>
      </w:r>
    </w:p>
    <w:p>
      <w:r>
        <w:br w:type="page"/>
      </w:r>
    </w:p>
    <w:p>
      <w:pPr>
        <w:spacing w:after="120"/>
      </w:pPr>
      <w:r>
        <w:rPr>
          <w:b/>
          <w:bCs/>
          <w:color w:val="1B4D4F"/>
          <w:sz w:val="28"/>
          <w:szCs w:val="28"/>
          <w:rFonts w:ascii="Georgia" w:cs="Georgia" w:eastAsia="Georgia" w:hAnsi="Georgia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1. Cómo funciona este plan</w:t>
      </w:r>
    </w:p>
    <w:p>
      <w:pPr>
        <w:spacing w:after="200" w:line="288"/>
      </w:pPr>
      <w:r>
        <w:rPr>
          <w:i/>
          <w:iCs/>
          <w:color w:val="6B625C"/>
          <w:sz w:val="22"/>
          <w:szCs w:val="22"/>
          <w:rFonts w:ascii="Calibri" w:cs="Calibri" w:eastAsia="Calibri" w:hAnsi="Calibri"/>
        </w:rPr>
        <w:t xml:space="preserve">Este documento convierte la investigación y el brainstorming (Documentos 3 y 4) en un plan de trabajo ordenado por fases. El marco principal es el Double Diamond, complementado con otros métodos donde aportan.</w:t>
      </w:r>
    </w:p>
    <w:tbl>
      <w:tblPr>
        <w:tblW w:type="dxa" w:w="9020"/>
        <w:tblBorders>
          <w:top w:val="single" w:color="F5F0E8" w:sz="2"/>
          <w:left w:val="single" w:color="B8923E" w:sz="28"/>
          <w:bottom w:val="single" w:color="F5F0E8" w:sz="2"/>
          <w:right w:val="single" w:color="F5F0E8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F5F0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B4D4F"/>
                <w:sz w:val="21"/>
                <w:szCs w:val="21"/>
                <w:rFonts w:ascii="Calibri" w:cs="Calibri" w:eastAsia="Calibri" w:hAnsi="Calibri"/>
              </w:rPr>
              <w:t xml:space="preserve">La idea en una frase</w:t>
            </w:r>
          </w:p>
          <w:p>
            <w:pPr>
              <w:spacing w:after="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Primero ABRIMOS para explorar (divergir), luego CERRAMOS para decidir (converger) — dos veces: una para encontrar el problema correcto, otra para encontrar la solución correcta.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2. Los marcos que usaremos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El Double Diamond organiza TODO. Los demás métodos son herramientas dentro de cada fase.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2350"/>
        <w:gridCol w:w="4570"/>
        <w:gridCol w:w="2100"/>
      </w:tblGrid>
      <w:tr>
        <w:trPr>
          <w:tblHeader/>
        </w:trPr>
        <w:tc>
          <w:tcPr>
            <w:tcW w:type="dxa" w:w="235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Marco / método</w:t>
            </w:r>
          </w:p>
        </w:tc>
        <w:tc>
          <w:tcPr>
            <w:tcW w:type="dxa" w:w="457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Para qué sirve</w:t>
            </w:r>
          </w:p>
        </w:tc>
        <w:tc>
          <w:tcPr>
            <w:tcW w:type="dxa" w:w="21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Dónde se usa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Double Diamond</w:t>
            </w:r>
          </w:p>
        </w:tc>
        <w:tc>
          <w:tcPr>
            <w:tcW w:type="dxa" w:w="45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Estructura general del proceso en 4 fases (Descubrir, Definir, Desarrollar, Entregar)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Todo el proyecto</w:t>
            </w:r>
          </w:p>
        </w:tc>
      </w:tr>
      <w:tr>
        <w:tc>
          <w:tcPr>
            <w:tcW w:type="dxa" w:w="235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Design Thinking</w:t>
            </w:r>
          </w:p>
        </w:tc>
        <w:tc>
          <w:tcPr>
            <w:tcW w:type="dxa" w:w="457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Empatizar, definir, idear, prototipar, probar — centrado en la persona</w:t>
            </w:r>
          </w:p>
        </w:tc>
        <w:tc>
          <w:tcPr>
            <w:tcW w:type="dxa" w:w="2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Descubrir y Desarrollar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Lean UX</w:t>
            </w:r>
          </w:p>
        </w:tc>
        <w:tc>
          <w:tcPr>
            <w:tcW w:type="dxa" w:w="45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Construir–medir–aprender: probar ideas rápido y barato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Desarrollar y Entregar</w:t>
            </w:r>
          </w:p>
        </w:tc>
      </w:tr>
      <w:tr>
        <w:tc>
          <w:tcPr>
            <w:tcW w:type="dxa" w:w="235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Jobs To Be Done (JTBD)</w:t>
            </w:r>
          </w:p>
        </w:tc>
        <w:tc>
          <w:tcPr>
            <w:tcW w:type="dxa" w:w="457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Entender el “trabajo” que la clienta quiere resolver, no solo el producto</w:t>
            </w:r>
          </w:p>
        </w:tc>
        <w:tc>
          <w:tcPr>
            <w:tcW w:type="dxa" w:w="2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Descubrir y Definir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MoSCoW</w:t>
            </w:r>
          </w:p>
        </w:tc>
        <w:tc>
          <w:tcPr>
            <w:tcW w:type="dxa" w:w="45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Priorizar: Must / Should / Could / Won’t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Definir</w:t>
            </w:r>
          </w:p>
        </w:tc>
      </w:tr>
      <w:tr>
        <w:tc>
          <w:tcPr>
            <w:tcW w:type="dxa" w:w="235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RICE</w:t>
            </w:r>
          </w:p>
        </w:tc>
        <w:tc>
          <w:tcPr>
            <w:tcW w:type="dxa" w:w="457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Puntuar ideas por Alcance, Impacto, Confianza y Esfuerzo</w:t>
            </w:r>
          </w:p>
        </w:tc>
        <w:tc>
          <w:tcPr>
            <w:tcW w:type="dxa" w:w="2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Definir y Desarrollar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Agile / Sprints</w:t>
            </w:r>
          </w:p>
        </w:tc>
        <w:tc>
          <w:tcPr>
            <w:tcW w:type="dxa" w:w="45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Entregar en ciclos cortos con revisiones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Desarrollar y Entregar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3. Double Diamond aplicado a Unistyles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Las 4 fases, con objetivo, actividades, métodos y entregables. Los dos primeros diamantes (Descubrir + Definir) son sobre todo investigación y estrategia; los dos últimos (Desarrollar + Entregar) son diseño y construcción.</w:t>
      </w:r>
    </w:p>
    <w:p>
      <w:pPr>
        <w:pBdr>
          <w:left w:val="single" w:color="B8923E" w:sz="28" w:space="10"/>
        </w:pBdr>
        <w:spacing w:before="200" w:after="60"/>
      </w:pPr>
      <w:r>
        <w:rPr>
          <w:b/>
          <w:bCs/>
          <w:color w:val="B8923E"/>
          <w:sz w:val="26"/>
          <w:szCs w:val="26"/>
          <w:rFonts w:ascii="Georgia" w:cs="Georgia" w:eastAsia="Georgia" w:hAnsi="Georgia"/>
        </w:rPr>
        <w:t xml:space="preserve">  ◆   </w:t>
      </w:r>
      <w:r>
        <w:rPr>
          <w:b/>
          <w:bCs/>
          <w:color w:val="2A2320"/>
          <w:sz w:val="26"/>
          <w:szCs w:val="26"/>
          <w:rFonts w:ascii="Georgia" w:cs="Georgia" w:eastAsia="Georgia" w:hAnsi="Georgia"/>
        </w:rPr>
        <w:t xml:space="preserve">DESCUBRIR (Discover) — abrir</w:t>
      </w:r>
    </w:p>
    <w:p>
      <w:pPr>
        <w:spacing w:after="70"/>
        <w:ind w:left="200"/>
      </w:pPr>
      <w:r>
        <w:rPr>
          <w:b/>
          <w:bCs/>
          <w:color w:val="1B4D4F"/>
          <w:sz w:val="20"/>
          <w:szCs w:val="20"/>
          <w:rFonts w:ascii="Calibri" w:cs="Calibri" w:eastAsia="Calibri" w:hAnsi="Calibri"/>
        </w:rPr>
        <w:t xml:space="preserve">Objetivo: </w:t>
      </w:r>
      <w:r>
        <w:rPr>
          <w:color w:val="2A2320"/>
          <w:sz w:val="20"/>
          <w:szCs w:val="20"/>
          <w:rFonts w:ascii="Calibri" w:cs="Calibri" w:eastAsia="Calibri" w:hAnsi="Calibri"/>
        </w:rPr>
        <w:t xml:space="preserve">Entender de verdad a la clienta y el mercado antes de decidir nada.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Actividades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Ejecutar la investigación del Documento 3 (temas de prioridad ALTA primero).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Entrevistas a 5–8 clientas + encuesta corta.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Análisis de competidores locales e internacionales.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Revisar datos propios (ventas, pedidos por WhatsApp).</w:t>
      </w:r>
    </w:p>
    <w:p>
      <w:pPr>
        <w:spacing w:before="40"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Métodos</w:t>
      </w:r>
    </w:p>
    <w:p>
      <w:pPr>
        <w:spacing w:after="60"/>
        <w:ind w:left="360"/>
      </w:pPr>
      <w:r>
        <w:rPr>
          <w:i/>
          <w:iCs/>
          <w:color w:val="2A2320"/>
          <w:sz w:val="19"/>
          <w:szCs w:val="19"/>
          <w:rFonts w:ascii="Calibri" w:cs="Calibri" w:eastAsia="Calibri" w:hAnsi="Calibri"/>
        </w:rPr>
        <w:t xml:space="preserve">Entrevistas, encuestas, JTBD, análisis competitivo, deep research (Doc 4).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Hallazgos de research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Mapa de competidores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2–3 personas basadas en evidencia</w:t>
      </w:r>
    </w:p>
    <w:p>
      <w:pPr>
        <w:pBdr>
          <w:left w:val="single" w:color="1B4D4F" w:sz="28" w:space="10"/>
        </w:pBdr>
        <w:spacing w:before="200" w:after="60"/>
      </w:pPr>
      <w:r>
        <w:rPr>
          <w:b/>
          <w:bCs/>
          <w:color w:val="1B4D4F"/>
          <w:sz w:val="26"/>
          <w:szCs w:val="26"/>
          <w:rFonts w:ascii="Georgia" w:cs="Georgia" w:eastAsia="Georgia" w:hAnsi="Georgia"/>
        </w:rPr>
        <w:t xml:space="preserve">  ◆   </w:t>
      </w:r>
      <w:r>
        <w:rPr>
          <w:b/>
          <w:bCs/>
          <w:color w:val="2A2320"/>
          <w:sz w:val="26"/>
          <w:szCs w:val="26"/>
          <w:rFonts w:ascii="Georgia" w:cs="Georgia" w:eastAsia="Georgia" w:hAnsi="Georgia"/>
        </w:rPr>
        <w:t xml:space="preserve">DEFINIR (Define) — cerrar</w:t>
      </w:r>
    </w:p>
    <w:p>
      <w:pPr>
        <w:spacing w:after="70"/>
        <w:ind w:left="200"/>
      </w:pPr>
      <w:r>
        <w:rPr>
          <w:b/>
          <w:bCs/>
          <w:color w:val="1B4D4F"/>
          <w:sz w:val="20"/>
          <w:szCs w:val="20"/>
          <w:rFonts w:ascii="Calibri" w:cs="Calibri" w:eastAsia="Calibri" w:hAnsi="Calibri"/>
        </w:rPr>
        <w:t xml:space="preserve">Objetivo: </w:t>
      </w:r>
      <w:r>
        <w:rPr>
          <w:color w:val="2A2320"/>
          <w:sz w:val="20"/>
          <w:szCs w:val="20"/>
          <w:rFonts w:ascii="Calibri" w:cs="Calibri" w:eastAsia="Calibri" w:hAnsi="Calibri"/>
        </w:rPr>
        <w:t xml:space="preserve">Convertir los hallazgos en un problema claro y una lista priorizada.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Actividades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Sintetizar research en insights y "problem statements".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Priorizar el backlog (Documento 2) con MoSCoW y RICE.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Definir métricas de éxito (KPIs).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Acordar el alcance del lanzamiento (MVP).</w:t>
      </w:r>
    </w:p>
    <w:p>
      <w:pPr>
        <w:spacing w:before="40"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Métodos</w:t>
      </w:r>
    </w:p>
    <w:p>
      <w:pPr>
        <w:spacing w:after="60"/>
        <w:ind w:left="360"/>
      </w:pPr>
      <w:r>
        <w:rPr>
          <w:i/>
          <w:iCs/>
          <w:color w:val="2A2320"/>
          <w:sz w:val="19"/>
          <w:szCs w:val="19"/>
          <w:rFonts w:ascii="Calibri" w:cs="Calibri" w:eastAsia="Calibri" w:hAnsi="Calibri"/>
        </w:rPr>
        <w:t xml:space="preserve">Síntesis de insights, MoSCoW, RICE, definición de MVP, mapa de experiencia.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Problem statement acordado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Backlog priorizado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Alcance del MVP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KPIs definidos</w:t>
      </w:r>
    </w:p>
    <w:p>
      <w:pPr>
        <w:pBdr>
          <w:left w:val="single" w:color="B8923E" w:sz="28" w:space="10"/>
        </w:pBdr>
        <w:spacing w:before="200" w:after="60"/>
      </w:pPr>
      <w:r>
        <w:rPr>
          <w:b/>
          <w:bCs/>
          <w:color w:val="B8923E"/>
          <w:sz w:val="26"/>
          <w:szCs w:val="26"/>
          <w:rFonts w:ascii="Georgia" w:cs="Georgia" w:eastAsia="Georgia" w:hAnsi="Georgia"/>
        </w:rPr>
        <w:t xml:space="preserve">  ◆   </w:t>
      </w:r>
      <w:r>
        <w:rPr>
          <w:b/>
          <w:bCs/>
          <w:color w:val="2A2320"/>
          <w:sz w:val="26"/>
          <w:szCs w:val="26"/>
          <w:rFonts w:ascii="Georgia" w:cs="Georgia" w:eastAsia="Georgia" w:hAnsi="Georgia"/>
        </w:rPr>
        <w:t xml:space="preserve">DESARROLLAR (Develop) — abrir</w:t>
      </w:r>
    </w:p>
    <w:p>
      <w:pPr>
        <w:spacing w:after="70"/>
        <w:ind w:left="200"/>
      </w:pPr>
      <w:r>
        <w:rPr>
          <w:b/>
          <w:bCs/>
          <w:color w:val="1B4D4F"/>
          <w:sz w:val="20"/>
          <w:szCs w:val="20"/>
          <w:rFonts w:ascii="Calibri" w:cs="Calibri" w:eastAsia="Calibri" w:hAnsi="Calibri"/>
        </w:rPr>
        <w:t xml:space="preserve">Objetivo: </w:t>
      </w:r>
      <w:r>
        <w:rPr>
          <w:color w:val="2A2320"/>
          <w:sz w:val="20"/>
          <w:szCs w:val="20"/>
          <w:rFonts w:ascii="Calibri" w:cs="Calibri" w:eastAsia="Calibri" w:hAnsi="Calibri"/>
        </w:rPr>
        <w:t xml:space="preserve">Idear y prototipar soluciones para el problema definido.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Actividades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Brainstorm con los HMW (Documento 4).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Diseñar flujos y wireframes (checkout móvil, delivery, ficha de producto).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Prototipar en Figma y probar con usuarias.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Construir por sprints, empezando por los P0 del Documento 2.</w:t>
      </w:r>
    </w:p>
    <w:p>
      <w:pPr>
        <w:spacing w:before="40"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Métodos</w:t>
      </w:r>
    </w:p>
    <w:p>
      <w:pPr>
        <w:spacing w:after="60"/>
        <w:ind w:left="360"/>
      </w:pPr>
      <w:r>
        <w:rPr>
          <w:i/>
          <w:iCs/>
          <w:color w:val="2A2320"/>
          <w:sz w:val="19"/>
          <w:szCs w:val="19"/>
          <w:rFonts w:ascii="Calibri" w:cs="Calibri" w:eastAsia="Calibri" w:hAnsi="Calibri"/>
        </w:rPr>
        <w:t xml:space="preserve">Design Thinking (idear/prototipar/probar), Lean UX, diseño en Figma, sprints Agile.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Wireframes y prototipos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Diseños de alta fidelidad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Incrementos de producto por sprint</w:t>
      </w:r>
    </w:p>
    <w:p>
      <w:pPr>
        <w:pBdr>
          <w:left w:val="single" w:color="1B4D4F" w:sz="28" w:space="10"/>
        </w:pBdr>
        <w:spacing w:before="200" w:after="60"/>
      </w:pPr>
      <w:r>
        <w:rPr>
          <w:b/>
          <w:bCs/>
          <w:color w:val="1B4D4F"/>
          <w:sz w:val="26"/>
          <w:szCs w:val="26"/>
          <w:rFonts w:ascii="Georgia" w:cs="Georgia" w:eastAsia="Georgia" w:hAnsi="Georgia"/>
        </w:rPr>
        <w:t xml:space="preserve">  ◆   </w:t>
      </w:r>
      <w:r>
        <w:rPr>
          <w:b/>
          <w:bCs/>
          <w:color w:val="2A2320"/>
          <w:sz w:val="26"/>
          <w:szCs w:val="26"/>
          <w:rFonts w:ascii="Georgia" w:cs="Georgia" w:eastAsia="Georgia" w:hAnsi="Georgia"/>
        </w:rPr>
        <w:t xml:space="preserve">ENTREGAR (Deliver) — cerrar</w:t>
      </w:r>
    </w:p>
    <w:p>
      <w:pPr>
        <w:spacing w:after="70"/>
        <w:ind w:left="200"/>
      </w:pPr>
      <w:r>
        <w:rPr>
          <w:b/>
          <w:bCs/>
          <w:color w:val="1B4D4F"/>
          <w:sz w:val="20"/>
          <w:szCs w:val="20"/>
          <w:rFonts w:ascii="Calibri" w:cs="Calibri" w:eastAsia="Calibri" w:hAnsi="Calibri"/>
        </w:rPr>
        <w:t xml:space="preserve">Objetivo: </w:t>
      </w:r>
      <w:r>
        <w:rPr>
          <w:color w:val="2A2320"/>
          <w:sz w:val="20"/>
          <w:szCs w:val="20"/>
          <w:rFonts w:ascii="Calibri" w:cs="Calibri" w:eastAsia="Calibri" w:hAnsi="Calibri"/>
        </w:rPr>
        <w:t xml:space="preserve">Lanzar, medir y mejorar con datos reales.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Actividades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Completar QA (checklist del Documento 2, epic K).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Lanzar el MVP y activar analítica.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Medir KPIs y recoger feedback.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Iterar: construir–medir–aprender.</w:t>
      </w:r>
    </w:p>
    <w:p>
      <w:pPr>
        <w:spacing w:before="40"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Métodos</w:t>
      </w:r>
    </w:p>
    <w:p>
      <w:pPr>
        <w:spacing w:after="60"/>
        <w:ind w:left="360"/>
      </w:pPr>
      <w:r>
        <w:rPr>
          <w:i/>
          <w:iCs/>
          <w:color w:val="2A2320"/>
          <w:sz w:val="19"/>
          <w:szCs w:val="19"/>
          <w:rFonts w:ascii="Calibri" w:cs="Calibri" w:eastAsia="Calibri" w:hAnsi="Calibri"/>
        </w:rPr>
        <w:t xml:space="preserve">Lean UX (medir/aprender), pruebas A/B, analítica, retros de sprint.</w:t>
      </w:r>
    </w:p>
    <w:p>
      <w:pPr>
        <w:spacing w:after="30"/>
        <w:ind w:left="200"/>
      </w:pPr>
      <w:r>
        <w:rPr>
          <w:b/>
          <w:bCs/>
          <w:color w:val="B8923E"/>
          <w:sz w:val="19"/>
          <w:szCs w:val="19"/>
          <w:rFonts w:ascii="Calibri" w:cs="Calibri" w:eastAsia="Calibri" w:hAnsi="Calibri"/>
        </w:rPr>
        <w:t xml:space="preserve">Entregables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Sitio en producción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Panel de métricas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Plan de mejoras iterativas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4. Roadmap por fases (sprints)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Propuesta de secuencia. Ajusta las semanas al ritmo real del equipo. Un "sprint" es un ciclo corto (1–2 semanas) con un objetivo claro.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1600"/>
        <w:gridCol w:w="1100"/>
        <w:gridCol w:w="3920"/>
        <w:gridCol w:w="2400"/>
      </w:tblGrid>
      <w:tr>
        <w:trPr>
          <w:tblHeader/>
        </w:trPr>
        <w:tc>
          <w:tcPr>
            <w:tcW w:type="dxa" w:w="16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Fase</w:t>
            </w:r>
          </w:p>
        </w:tc>
        <w:tc>
          <w:tcPr>
            <w:tcW w:type="dxa" w:w="11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Sprint</w:t>
            </w:r>
          </w:p>
        </w:tc>
        <w:tc>
          <w:tcPr>
            <w:tcW w:type="dxa" w:w="392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Foco principal</w:t>
            </w:r>
          </w:p>
        </w:tc>
        <w:tc>
          <w:tcPr>
            <w:tcW w:type="dxa" w:w="24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Sale de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B8923E"/>
                <w:sz w:val="18"/>
                <w:szCs w:val="18"/>
                <w:rFonts w:ascii="Calibri" w:cs="Calibri" w:eastAsia="Calibri" w:hAnsi="Calibri"/>
              </w:rPr>
              <w:t xml:space="preserve">Descubrir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S1–S2</w:t>
            </w:r>
          </w:p>
        </w:tc>
        <w:tc>
          <w:tcPr>
            <w:tcW w:type="dxa" w:w="39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Research prioridad ALTA + entrevistas + competencia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Doc 3 / Doc 4</w:t>
            </w:r>
          </w:p>
        </w:tc>
      </w:tr>
      <w:tr>
        <w:tc>
          <w:tcPr>
            <w:tcW w:type="dxa" w:w="16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1B4D4F"/>
                <w:sz w:val="18"/>
                <w:szCs w:val="18"/>
                <w:rFonts w:ascii="Calibri" w:cs="Calibri" w:eastAsia="Calibri" w:hAnsi="Calibri"/>
              </w:rPr>
              <w:t xml:space="preserve">Definir</w:t>
            </w:r>
          </w:p>
        </w:tc>
        <w:tc>
          <w:tcPr>
            <w:tcW w:type="dxa" w:w="1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S3</w:t>
            </w:r>
          </w:p>
        </w:tc>
        <w:tc>
          <w:tcPr>
            <w:tcW w:type="dxa" w:w="39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Insights, priorización RICE/MoSCoW, alcance MVP, KPIs</w:t>
            </w:r>
          </w:p>
        </w:tc>
        <w:tc>
          <w:tcPr>
            <w:tcW w:type="dxa" w:w="24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Doc 2 / Doc 4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B8923E"/>
                <w:sz w:val="18"/>
                <w:szCs w:val="18"/>
                <w:rFonts w:ascii="Calibri" w:cs="Calibri" w:eastAsia="Calibri" w:hAnsi="Calibri"/>
              </w:rPr>
              <w:t xml:space="preserve">Desarrollar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S4–S6</w:t>
            </w:r>
          </w:p>
        </w:tc>
        <w:tc>
          <w:tcPr>
            <w:tcW w:type="dxa" w:w="39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Diseño de flujos clave + construir P0 (bloqueadores)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Doc 2 (P0)</w:t>
            </w:r>
          </w:p>
        </w:tc>
      </w:tr>
      <w:tr>
        <w:tc>
          <w:tcPr>
            <w:tcW w:type="dxa" w:w="16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1B4D4F"/>
                <w:sz w:val="18"/>
                <w:szCs w:val="18"/>
                <w:rFonts w:ascii="Calibri" w:cs="Calibri" w:eastAsia="Calibri" w:hAnsi="Calibri"/>
              </w:rPr>
              <w:t xml:space="preserve">Entregar</w:t>
            </w:r>
          </w:p>
        </w:tc>
        <w:tc>
          <w:tcPr>
            <w:tcW w:type="dxa" w:w="1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S7</w:t>
            </w:r>
          </w:p>
        </w:tc>
        <w:tc>
          <w:tcPr>
            <w:tcW w:type="dxa" w:w="39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QA + lanzamiento MVP + analítica</w:t>
            </w:r>
          </w:p>
        </w:tc>
        <w:tc>
          <w:tcPr>
            <w:tcW w:type="dxa" w:w="24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Doc 2 (Epic K)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B8923E"/>
                <w:sz w:val="18"/>
                <w:szCs w:val="18"/>
                <w:rFonts w:ascii="Calibri" w:cs="Calibri" w:eastAsia="Calibri" w:hAnsi="Calibri"/>
              </w:rPr>
              <w:t xml:space="preserve">Iterar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S8+</w:t>
            </w:r>
          </w:p>
        </w:tc>
        <w:tc>
          <w:tcPr>
            <w:tcW w:type="dxa" w:w="39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Delivery operativo, P1/P2, mejoras por datos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Doc 2 (P1/P2)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0"/>
        <w:tblBorders>
          <w:top w:val="single" w:color="F5F0E8" w:sz="2"/>
          <w:left w:val="single" w:color="B8923E" w:sz="28"/>
          <w:bottom w:val="single" w:color="F5F0E8" w:sz="2"/>
          <w:right w:val="single" w:color="F5F0E8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F5F0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B4D4F"/>
                <w:sz w:val="21"/>
                <w:szCs w:val="21"/>
                <w:rFonts w:ascii="Calibri" w:cs="Calibri" w:eastAsia="Calibri" w:hAnsi="Calibri"/>
              </w:rPr>
              <w:t xml:space="preserve">Atajo pragmático</w:t>
            </w:r>
          </w:p>
          <w:p>
            <w:pPr>
              <w:spacing w:after="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Como el código ya está muy avanzado, pueden correr "Descubrir/Definir" (research) EN PARALELO con el cierre técnico de los bloqueadores P0 del Documento 2. Así avanzas hacia el lanzamiento mientras investigas para las mejoras.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5. Roles y responsabilidades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Quién lidera qué (modelo simple: R = Responsable/hace, A = Aprueba/decide, C = Consultado, I = Informado).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3020"/>
        <w:gridCol w:w="1200"/>
        <w:gridCol w:w="1200"/>
        <w:gridCol w:w="1200"/>
        <w:gridCol w:w="1000"/>
        <w:gridCol w:w="1400"/>
      </w:tblGrid>
      <w:tr>
        <w:trPr>
          <w:tblHeader/>
        </w:trPr>
        <w:tc>
          <w:tcPr>
            <w:tcW w:type="dxa" w:w="302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Actividad</w:t>
            </w:r>
          </w:p>
        </w:tc>
        <w:tc>
          <w:tcPr>
            <w:tcW w:type="dxa" w:w="12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UX/UI</w:t>
            </w:r>
          </w:p>
        </w:tc>
        <w:tc>
          <w:tcPr>
            <w:tcW w:type="dxa" w:w="12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Front</w:t>
            </w:r>
          </w:p>
        </w:tc>
        <w:tc>
          <w:tcPr>
            <w:tcW w:type="dxa" w:w="12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Back</w:t>
            </w:r>
          </w:p>
        </w:tc>
        <w:tc>
          <w:tcPr>
            <w:tcW w:type="dxa" w:w="10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Mkt</w:t>
            </w:r>
          </w:p>
        </w:tc>
        <w:tc>
          <w:tcPr>
            <w:tcW w:type="dxa" w:w="14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Dueña</w:t>
            </w:r>
          </w:p>
        </w:tc>
      </w:tr>
      <w:tr>
        <w:tc>
          <w:tcPr>
            <w:tcW w:type="dxa" w:w="30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Research de usuaria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Análisis de competencia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4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Priorización (RICE/MoSCoW)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Diseño de flujos / UI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4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Construcción P0 (frontend)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Construcción P0 (backend/infra)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4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Delivery operativo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Marketing y SEO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2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4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c>
          <w:tcPr>
            <w:tcW w:type="dxa" w:w="30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QA y lanzamiento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40" w:line="276" w:before="0"/>
        <w:jc w:val="left"/>
      </w:pPr>
      <w:r>
        <w:rPr>
          <w:b/>
          <w:bCs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Nota: </w:t>
      </w: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la dueña (Paula) aprueba/decide en todo, pero delega el "hacer". Si algún rol lo cubre la misma persona o un externo, ajusten la tabla.</w:t>
      </w:r>
    </w:p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6. Cómo priorizar las ideas (RICE)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Cuando haya muchas ideas del brainstorming, puntúalas con RICE para decidir con criterio, no por intuición. Fórmula: (Alcance × Impacto × Confianza) ÷ Esfuerzo. Mayor puntaje = hacer antes.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2100"/>
        <w:gridCol w:w="5120"/>
        <w:gridCol w:w="1800"/>
      </w:tblGrid>
      <w:tr>
        <w:trPr>
          <w:tblHeader/>
        </w:trPr>
        <w:tc>
          <w:tcPr>
            <w:tcW w:type="dxa" w:w="21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Factor</w:t>
            </w:r>
          </w:p>
        </w:tc>
        <w:tc>
          <w:tcPr>
            <w:tcW w:type="dxa" w:w="512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Pregunta</w:t>
            </w:r>
          </w:p>
        </w:tc>
        <w:tc>
          <w:tcPr>
            <w:tcW w:type="dxa" w:w="18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Escala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Reach (Alcance)</w:t>
            </w:r>
          </w:p>
        </w:tc>
        <w:tc>
          <w:tcPr>
            <w:tcW w:type="dxa" w:w="5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¿A cuántas clientas afecta?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Nº estimado / mes</w:t>
            </w:r>
          </w:p>
        </w:tc>
      </w:tr>
      <w:tr>
        <w:tc>
          <w:tcPr>
            <w:tcW w:type="dxa" w:w="2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Impact (Impacto)</w:t>
            </w:r>
          </w:p>
        </w:tc>
        <w:tc>
          <w:tcPr>
            <w:tcW w:type="dxa" w:w="51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¿Cuánto mejora la experiencia o la venta?</w:t>
            </w:r>
          </w:p>
        </w:tc>
        <w:tc>
          <w:tcPr>
            <w:tcW w:type="dxa" w:w="18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0.25 / 0.5 / 1 / 2 / 3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Confidence (Confianza)</w:t>
            </w:r>
          </w:p>
        </w:tc>
        <w:tc>
          <w:tcPr>
            <w:tcW w:type="dxa" w:w="5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¿Qué tan seguros estamos?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50% / 80% / 100%</w:t>
            </w:r>
          </w:p>
        </w:tc>
      </w:tr>
      <w:tr>
        <w:tc>
          <w:tcPr>
            <w:tcW w:type="dxa" w:w="2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Effort (Esfuerzo)</w:t>
            </w:r>
          </w:p>
        </w:tc>
        <w:tc>
          <w:tcPr>
            <w:tcW w:type="dxa" w:w="51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¿Cuánto trabajo cuesta?</w:t>
            </w:r>
          </w:p>
        </w:tc>
        <w:tc>
          <w:tcPr>
            <w:tcW w:type="dxa" w:w="18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Persona-semanas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3"/>
        <w:spacing w:before="160" w:after="80"/>
      </w:pPr>
      <w:r>
        <w:rPr>
          <w:b/>
          <w:bCs/>
          <w:color w:val="2A2320"/>
          <w:sz w:val="22"/>
          <w:szCs w:val="22"/>
          <w:rFonts w:ascii="Calibri" w:cs="Calibri" w:eastAsia="Calibri" w:hAnsi="Calibri"/>
        </w:rPr>
        <w:t xml:space="preserve">Ejemplo aplicado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3600"/>
        <w:gridCol w:w="1000"/>
        <w:gridCol w:w="800"/>
        <w:gridCol w:w="1100"/>
        <w:gridCol w:w="900"/>
        <w:gridCol w:w="1620"/>
      </w:tblGrid>
      <w:tr>
        <w:trPr>
          <w:tblHeader/>
        </w:trPr>
        <w:tc>
          <w:tcPr>
            <w:tcW w:type="dxa" w:w="36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Idea</w:t>
            </w:r>
          </w:p>
        </w:tc>
        <w:tc>
          <w:tcPr>
            <w:tcW w:type="dxa" w:w="10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</w:t>
            </w:r>
          </w:p>
        </w:tc>
        <w:tc>
          <w:tcPr>
            <w:tcW w:type="dxa" w:w="8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11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9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162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RICE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Corregir bloqueadores P0 (poder comprar)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Todas</w:t>
            </w:r>
          </w:p>
        </w:tc>
        <w:tc>
          <w:tcPr>
            <w:tcW w:type="dxa" w:w="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100%</w:t>
            </w:r>
          </w:p>
        </w:tc>
        <w:tc>
          <w:tcPr>
            <w:tcW w:type="dxa" w:w="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6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Muy alto</w:t>
            </w:r>
          </w:p>
        </w:tc>
      </w:tr>
      <w:tr>
        <w:tc>
          <w:tcPr>
            <w:tcW w:type="dxa" w:w="36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Simplificar checkout móvil</w:t>
            </w:r>
          </w:p>
        </w:tc>
        <w:tc>
          <w:tcPr>
            <w:tcW w:type="dxa" w:w="1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Alta</w:t>
            </w:r>
          </w:p>
        </w:tc>
        <w:tc>
          <w:tcPr>
            <w:tcW w:type="dxa" w:w="8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80%</w:t>
            </w:r>
          </w:p>
        </w:tc>
        <w:tc>
          <w:tcPr>
            <w:tcW w:type="dxa" w:w="9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6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Guía de tallas interactiva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tcW w:type="dxa" w:w="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80%</w:t>
            </w:r>
          </w:p>
        </w:tc>
        <w:tc>
          <w:tcPr>
            <w:tcW w:type="dxa" w:w="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6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</w:tr>
      <w:tr>
        <w:tc>
          <w:tcPr>
            <w:tcW w:type="dxa" w:w="36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Seguimiento de delivery en vivo</w:t>
            </w:r>
          </w:p>
        </w:tc>
        <w:tc>
          <w:tcPr>
            <w:tcW w:type="dxa" w:w="1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tcW w:type="dxa" w:w="8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80%</w:t>
            </w:r>
          </w:p>
        </w:tc>
        <w:tc>
          <w:tcPr>
            <w:tcW w:type="dxa" w:w="9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62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Medio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Tienda multi-idioma completa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Media</w:t>
            </w:r>
          </w:p>
        </w:tc>
        <w:tc>
          <w:tcPr>
            <w:tcW w:type="dxa" w:w="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50%</w:t>
            </w:r>
          </w:p>
        </w:tc>
        <w:tc>
          <w:tcPr>
            <w:tcW w:type="dxa" w:w="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6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Bajo (por ahora)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7. Métricas de éxito (KPIs)</w:t>
      </w:r>
    </w:p>
    <w:p>
      <w:pPr>
        <w:spacing w:after="140" w:line="276" w:before="0"/>
        <w:jc w:val="left"/>
      </w:pPr>
      <w:r>
        <w:rPr>
          <w:b w:val="false"/>
          <w:bCs w:val="false"/>
          <w:i w:val="false"/>
          <w:iCs w:val="false"/>
          <w:color w:val="2A2320"/>
          <w:sz w:val="21"/>
          <w:szCs w:val="21"/>
          <w:rFonts w:ascii="Calibri" w:cs="Calibri" w:eastAsia="Calibri" w:hAnsi="Calibri"/>
        </w:rPr>
        <w:t xml:space="preserve">Define esto ANTES de lanzar para saber si el sitio funciona. Instala analítica en la fase Entregar.</w:t>
      </w:r>
    </w:p>
    <w:tbl>
      <w:tblPr>
        <w:tblW w:type="dxa" w:w="9020"/>
        <w:tblBorders>
          <w:top w:val="single" w:color="E3DACE" w:sz="2"/>
          <w:left w:val="single" w:color="E3DACE" w:sz="2"/>
          <w:bottom w:val="single" w:color="E3DACE" w:sz="2"/>
          <w:right w:val="single" w:color="E3DACE" w:sz="2"/>
          <w:insideH w:val="single" w:color="E3DACE" w:sz="2"/>
          <w:insideV w:val="single" w:color="E3DACE" w:sz="2"/>
        </w:tblBorders>
      </w:tblPr>
      <w:tblGrid>
        <w:gridCol w:w="2350"/>
        <w:gridCol w:w="3670"/>
        <w:gridCol w:w="3000"/>
      </w:tblGrid>
      <w:tr>
        <w:trPr>
          <w:tblHeader/>
        </w:trPr>
        <w:tc>
          <w:tcPr>
            <w:tcW w:type="dxa" w:w="235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KPI</w:t>
            </w:r>
          </w:p>
        </w:tc>
        <w:tc>
          <w:tcPr>
            <w:tcW w:type="dxa" w:w="367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Qué mide</w:t>
            </w:r>
          </w:p>
        </w:tc>
        <w:tc>
          <w:tcPr>
            <w:tcW w:type="dxa" w:w="3000"/>
            <w:shd w:fill="1B4D4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Meta inicial sugerida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Tasa de conversión</w:t>
            </w:r>
          </w:p>
        </w:tc>
        <w:tc>
          <w:tcPr>
            <w:tcW w:type="dxa" w:w="36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% de visitas que compran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Establecer línea base, luego mejorar</w:t>
            </w:r>
          </w:p>
        </w:tc>
      </w:tr>
      <w:tr>
        <w:tc>
          <w:tcPr>
            <w:tcW w:type="dxa" w:w="235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Ticket promedio</w:t>
            </w:r>
          </w:p>
        </w:tc>
        <w:tc>
          <w:tcPr>
            <w:tcW w:type="dxa" w:w="367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Valor medio del pedido</w:t>
            </w:r>
          </w:p>
        </w:tc>
        <w:tc>
          <w:tcPr>
            <w:tcW w:type="dxa" w:w="3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Subir con envío gratis por umbral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Abandono de carrito</w:t>
            </w:r>
          </w:p>
        </w:tc>
        <w:tc>
          <w:tcPr>
            <w:tcW w:type="dxa" w:w="36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% que empieza y no termina el checkout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Reducir con checkout simple</w:t>
            </w:r>
          </w:p>
        </w:tc>
      </w:tr>
      <w:tr>
        <w:tc>
          <w:tcPr>
            <w:tcW w:type="dxa" w:w="235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Tasa de recompra</w:t>
            </w:r>
          </w:p>
        </w:tc>
        <w:tc>
          <w:tcPr>
            <w:tcW w:type="dxa" w:w="367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% de clientas que vuelven</w:t>
            </w:r>
          </w:p>
        </w:tc>
        <w:tc>
          <w:tcPr>
            <w:tcW w:type="dxa" w:w="3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Clave en mercado pequeño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Pedidos por canal</w:t>
            </w:r>
          </w:p>
        </w:tc>
        <w:tc>
          <w:tcPr>
            <w:tcW w:type="dxa" w:w="36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Sitio vs. WhatsApp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Entender el comportamiento real</w:t>
            </w:r>
          </w:p>
        </w:tc>
      </w:tr>
      <w:tr>
        <w:tc>
          <w:tcPr>
            <w:tcW w:type="dxa" w:w="235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Tiempo de carga móvil</w:t>
            </w:r>
          </w:p>
        </w:tc>
        <w:tc>
          <w:tcPr>
            <w:tcW w:type="dxa" w:w="367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Velocidad en 4G</w:t>
            </w:r>
          </w:p>
        </w:tc>
        <w:tc>
          <w:tcPr>
            <w:tcW w:type="dxa" w:w="3000"/>
            <w:shd w:fill="FBF8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&lt; 3 segundos</w:t>
            </w:r>
          </w:p>
        </w:tc>
      </w:tr>
      <w:tr>
        <w:tc>
          <w:tcPr>
            <w:tcW w:type="dxa" w:w="2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Satisfacción de entrega</w:t>
            </w:r>
          </w:p>
        </w:tc>
        <w:tc>
          <w:tcPr>
            <w:tcW w:type="dxa" w:w="367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Feedback post-entrega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  <w:jc w:val="left"/>
            </w:pPr>
            <w:r>
              <w:rPr>
                <w:b w:val="false"/>
                <w:bCs w:val="false"/>
                <w:color w:val="2A2320"/>
                <w:sz w:val="18"/>
                <w:szCs w:val="18"/>
                <w:rFonts w:ascii="Calibri" w:cs="Calibri" w:eastAsia="Calibri" w:hAnsi="Calibri"/>
              </w:rPr>
              <w:t xml:space="preserve">Alta puntuación por zona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23E" w:sz="12" w:space="6"/>
        </w:pBdr>
        <w:spacing w:before="260" w:after="150"/>
      </w:pPr>
      <w:r>
        <w:rPr>
          <w:b/>
          <w:bCs/>
          <w:color w:val="1B4D4F"/>
          <w:sz w:val="30"/>
          <w:szCs w:val="30"/>
          <w:rFonts w:ascii="Georgia" w:cs="Georgia" w:eastAsia="Georgia" w:hAnsi="Georgia"/>
        </w:rPr>
        <w:t xml:space="preserve">8. Próximos pasos concretos</w:t>
      </w:r>
    </w:p>
    <w:p>
      <w:pPr>
        <w:pStyle w:val="Heading3"/>
        <w:spacing w:before="160" w:after="80"/>
      </w:pPr>
      <w:r>
        <w:rPr>
          <w:b/>
          <w:bCs/>
          <w:color w:val="2A2320"/>
          <w:sz w:val="22"/>
          <w:szCs w:val="22"/>
          <w:rFonts w:ascii="Calibri" w:cs="Calibri" w:eastAsia="Calibri" w:hAnsi="Calibri"/>
        </w:rPr>
        <w:t xml:space="preserve">Próximos 7 días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Confirmar que backend + Directus + frontend están desplegados juntos (US-A1).</w:t>
      </w:r>
      <w:r>
        <w:rPr>
          <w:b/>
          <w:bCs/>
          <w:color w:val="B23A3A"/>
          <w:sz w:val="18"/>
          <w:szCs w:val="18"/>
          <w:rFonts w:ascii="Calibri" w:cs="Calibri" w:eastAsia="Calibri" w:hAnsi="Calibri"/>
        </w:rPr>
        <w:t xml:space="preserve">   [P0]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Verificar que las zonas de delivery traen barrios en producción (US-D1).</w:t>
      </w:r>
      <w:r>
        <w:rPr>
          <w:b/>
          <w:bCs/>
          <w:color w:val="B23A3A"/>
          <w:sz w:val="18"/>
          <w:szCs w:val="18"/>
          <w:rFonts w:ascii="Calibri" w:cs="Calibri" w:eastAsia="Calibri" w:hAnsi="Calibri"/>
        </w:rPr>
        <w:t xml:space="preserve">   [P0]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Poner número de cuenta bancaria real y rotar contraseña admin (US-C3, US-J1).</w:t>
      </w:r>
      <w:r>
        <w:rPr>
          <w:b/>
          <w:bCs/>
          <w:color w:val="B23A3A"/>
          <w:sz w:val="18"/>
          <w:szCs w:val="18"/>
          <w:rFonts w:ascii="Calibri" w:cs="Calibri" w:eastAsia="Calibri" w:hAnsi="Calibri"/>
        </w:rPr>
        <w:t xml:space="preserve">   [P0]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Agendar la sesión de brainstorming con el equipo (agenda en Doc 4).</w:t>
      </w: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   [—]</w:t>
      </w:r>
    </w:p>
    <w:p>
      <w:pPr>
        <w:pStyle w:val="Heading3"/>
        <w:spacing w:before="160" w:after="80"/>
      </w:pPr>
      <w:r>
        <w:rPr>
          <w:b/>
          <w:bCs/>
          <w:color w:val="2A2320"/>
          <w:sz w:val="22"/>
          <w:szCs w:val="22"/>
          <w:rFonts w:ascii="Calibri" w:cs="Calibri" w:eastAsia="Calibri" w:hAnsi="Calibri"/>
        </w:rPr>
        <w:t xml:space="preserve">Próximos 30 días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Cerrar todos los bloqueadores P0 del Documento 2.</w:t>
      </w:r>
      <w:r>
        <w:rPr>
          <w:b/>
          <w:bCs/>
          <w:color w:val="B23A3A"/>
          <w:sz w:val="18"/>
          <w:szCs w:val="18"/>
          <w:rFonts w:ascii="Calibri" w:cs="Calibri" w:eastAsia="Calibri" w:hAnsi="Calibri"/>
        </w:rPr>
        <w:t xml:space="preserve">   [P0]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Ejecutar research de prioridad ALTA (Documento 3).</w:t>
      </w: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   [—]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Definir MVP, KPIs y backlog priorizado (fase Definir).</w:t>
      </w: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   [—]</w:t>
      </w:r>
    </w:p>
    <w:p>
      <w:pPr>
        <w:pStyle w:val="Heading3"/>
        <w:spacing w:before="160" w:after="80"/>
      </w:pPr>
      <w:r>
        <w:rPr>
          <w:b/>
          <w:bCs/>
          <w:color w:val="2A2320"/>
          <w:sz w:val="22"/>
          <w:szCs w:val="22"/>
          <w:rFonts w:ascii="Calibri" w:cs="Calibri" w:eastAsia="Calibri" w:hAnsi="Calibri"/>
        </w:rPr>
        <w:t xml:space="preserve">Próximos 90 días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Lanzar el MVP con analítica activa.</w:t>
      </w: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   [—]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Construir el delivery operativo (despacho, asignación, tracking — US-D2 a D5).</w:t>
      </w:r>
      <w:r>
        <w:rPr>
          <w:b/>
          <w:bCs/>
          <w:color w:val="B7791F"/>
          <w:sz w:val="18"/>
          <w:szCs w:val="18"/>
          <w:rFonts w:ascii="Calibri" w:cs="Calibri" w:eastAsia="Calibri" w:hAnsi="Calibri"/>
        </w:rPr>
        <w:t xml:space="preserve">   [P1]</w:t>
      </w:r>
    </w:p>
    <w:p>
      <w:pPr>
        <w:spacing w:after="90" w:line="268"/>
        <w:ind w:left="200" w:hanging="300"/>
      </w:pPr>
      <w:r>
        <w:rPr>
          <w:b/>
          <w:bCs/>
          <w:color w:val="1B4D4F"/>
          <w:sz w:val="22"/>
          <w:szCs w:val="22"/>
          <w:rFonts w:ascii="Calibri" w:cs="Calibri" w:eastAsia="Calibri" w:hAnsi="Calibri"/>
        </w:rPr>
        <w:t xml:space="preserve">☐  </w:t>
      </w:r>
      <w:r>
        <w:rPr>
          <w:b w:val="false"/>
          <w:bCs w:val="false"/>
          <w:color w:val="2A2320"/>
          <w:sz w:val="21"/>
          <w:szCs w:val="21"/>
          <w:rFonts w:ascii="Calibri" w:cs="Calibri" w:eastAsia="Calibri" w:hAnsi="Calibri"/>
        </w:rPr>
        <w:t xml:space="preserve">Iterar con datos: mejorar conversión, catálogo, idioma.</w:t>
      </w:r>
      <w:r>
        <w:rPr>
          <w:b/>
          <w:bCs/>
          <w:color w:val="1B4D4F"/>
          <w:sz w:val="18"/>
          <w:szCs w:val="18"/>
          <w:rFonts w:ascii="Calibri" w:cs="Calibri" w:eastAsia="Calibri" w:hAnsi="Calibri"/>
        </w:rPr>
        <w:t xml:space="preserve">   [—]</w:t>
      </w:r>
    </w:p>
    <w:p>
      <w:pPr>
        <w:spacing w:after="120"/>
      </w:pPr>
      <w:r>
        <w:t xml:space="preserve"/>
      </w:r>
    </w:p>
    <w:tbl>
      <w:tblPr>
        <w:tblW w:type="dxa" w:w="9020"/>
        <w:tblBorders>
          <w:top w:val="single" w:color="F5F0E8" w:sz="2"/>
          <w:left w:val="single" w:color="1B4D4F" w:sz="28"/>
          <w:bottom w:val="single" w:color="F5F0E8" w:sz="2"/>
          <w:right w:val="single" w:color="F5F0E8" w:sz="2"/>
          <w:insideH w:val="none"/>
          <w:insideV w:val="none"/>
        </w:tblBorders>
      </w:tblPr>
      <w:tblGrid>
        <w:gridCol w:w="9020"/>
      </w:tblGrid>
      <w:tr>
        <w:tc>
          <w:tcPr>
            <w:tcW w:type="dxa" w:w="9020"/>
            <w:shd w:fill="F5F0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B4D4F"/>
                <w:sz w:val="21"/>
                <w:szCs w:val="21"/>
                <w:rFonts w:ascii="Calibri" w:cs="Calibri" w:eastAsia="Calibri" w:hAnsi="Calibri"/>
              </w:rPr>
              <w:t xml:space="preserve">Recuerda</w:t>
            </w:r>
          </w:p>
          <w:p>
            <w:pPr>
              <w:spacing w:after="0" w:line="264"/>
            </w:pPr>
            <w:r>
              <w:rPr>
                <w:color w:val="2A2320"/>
                <w:sz w:val="20"/>
                <w:szCs w:val="20"/>
                <w:rFonts w:ascii="Calibri" w:cs="Calibri" w:eastAsia="Calibri" w:hAnsi="Calibri"/>
              </w:rPr>
              <w:t xml:space="preserve">No tienes que hacer todo a la vez. El código ya está muy avanzado (Documento 1). El camino más corto al lanzamiento es: cerrar los P0 → lanzar un MVP → aprender de clientas reales → mejorar por fases. La investigación y el brainstorming te aseguran mejorar lo correcto, no lo que suena bien.</w:t>
            </w:r>
          </w:p>
        </w:tc>
      </w:tr>
    </w:tbl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DACE" w:sz="6" w:space="6"/>
      </w:pBdr>
      <w:jc w:val="center"/>
    </w:pPr>
    <w:r>
      <w:rPr>
        <w:color w:val="6B625C"/>
        <w:sz w:val="16"/>
        <w:szCs w:val="16"/>
        <w:rFonts w:ascii="Calibri" w:cs="Calibri" w:eastAsia="Calibri" w:hAnsi="Calibri"/>
      </w:rPr>
      <w:t xml:space="preserve">Unistyles Curaçao  ·  </w:t>
    </w:r>
    <w:r>
      <w:rPr>
        <w:i/>
        <w:iCs/>
        <w:color w:val="6B625C"/>
        <w:sz w:val="16"/>
        <w:szCs w:val="16"/>
        <w:rFonts w:ascii="Calibri" w:cs="Calibri" w:eastAsia="Calibri" w:hAnsi="Calibri"/>
      </w:rPr>
      <w:t xml:space="preserve">Action Plan — Double Diamond</w:t>
    </w:r>
    <w:r>
      <w:rPr>
        <w:color w:val="6B625C"/>
        <w:sz w:val="16"/>
        <w:szCs w:val="16"/>
        <w:rFonts w:ascii="Calibri" w:cs="Calibri" w:eastAsia="Calibri" w:hAnsi="Calibri"/>
      </w:rPr>
      <w:t xml:space="preserve">   ·   </w:t>
    </w:r>
    <w:r>
      <w:rPr>
        <w:color w:val="6B625C"/>
        <w:sz w:val="16"/>
        <w:szCs w:val="16"/>
        <w:rFonts w:ascii="Calibri" w:cs="Calibri" w:eastAsia="Calibri" w:hAnsi="Calibri"/>
      </w:rPr>
      <w:t xml:space="preserve">Pág.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B8923E"/>
      </w:rPr>
    </w:lvl>
    <w:lvl w:ilvl="1" w15:tentative="1">
      <w:start w:val="1"/>
      <w:numFmt w:val="bullet"/>
      <w:lvlText w:val="–"/>
      <w:lvlJc w:val="left"/>
      <w:pPr>
        <w:ind w:left="900" w:hanging="240"/>
      </w:pPr>
      <w:rPr>
        <w:color w:val="1B4D4F"/>
      </w:rPr>
    </w:lvl>
    <w:lvl w:ilvl="2" w15:tentative="1">
      <w:start w:val="1"/>
      <w:numFmt w:val="bullet"/>
      <w:lvlText w:val="▪"/>
      <w:lvlJc w:val="left"/>
      <w:pPr>
        <w:ind w:left="13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  <w:lvl w:ilvl="1" w15:tentative="1">
      <w:start w:val="1"/>
      <w:numFmt w:val="lowerLetter"/>
      <w:lvlText w:val="%2."/>
      <w:lvlJc w:val="start"/>
      <w:pPr>
        <w:ind w:left="9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A2320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B4D4F"/>
      <w:sz w:val="30"/>
      <w:szCs w:val="30"/>
      <w:rFonts w:ascii="Georgia" w:cs="Georgia" w:eastAsia="Georgia" w:hAnsi="Georgia"/>
    </w:rPr>
  </w:style>
  <w:style w:type="paragraph" w:styleId="Heading2">
    <w:name w:val="Heading 2"/>
    <w:basedOn w:val="Normal"/>
    <w:next w:val="Normal"/>
    <w:qFormat/>
    <w:rPr>
      <w:b/>
      <w:bCs/>
      <w:color w:val="B8923E"/>
      <w:sz w:val="25"/>
      <w:szCs w:val="25"/>
      <w:rFonts w:ascii="Georgia" w:cs="Georgia" w:eastAsia="Georgia" w:hAnsi="Georg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— Double Diamond</dc:title>
  <dc:creator>Claude Code — Unistyles</dc:creator>
  <dc:description>Action Plan — Double Diamond</dc:description>
  <cp:lastModifiedBy>Un-named</cp:lastModifiedBy>
  <cp:revision>1</cp:revision>
  <dcterms:created xsi:type="dcterms:W3CDTF">2026-07-31T13:18:34.221Z</dcterms:created>
  <dcterms:modified xsi:type="dcterms:W3CDTF">2026-07-31T13:18:34.223Z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