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A1A2E"/>
          <w:sz w:val="72"/>
        </w:rPr>
        <w:t>AI Visibility</w:t>
      </w:r>
    </w:p>
    <w:p/>
    <w:p>
      <w:pPr>
        <w:jc w:val="center"/>
      </w:pPr>
      <w:r>
        <w:rPr>
          <w:b/>
          <w:color w:val="CC4444"/>
          <w:sz w:val="30"/>
        </w:rPr>
        <w:t>Tu marca existe para Google.</w:t>
        <w:br/>
        <w:t>¿Pero existe para ChatGPT?</w:t>
      </w:r>
    </w:p>
    <w:p/>
    <w:p>
      <w:pPr>
        <w:jc w:val="center"/>
      </w:pPr>
      <w:r>
        <w:rPr>
          <w:i/>
          <w:color w:val="555599"/>
          <w:sz w:val="24"/>
        </w:rPr>
        <w:t>La primera plataforma en Latinoamérica que mide y mejora</w:t>
        <w:br/>
        <w:t>la presencia de tu marca en los motores de inteligencia artificial.</w:t>
      </w:r>
    </w:p>
    <w:p>
      <w:r>
        <w:br w:type="page"/>
      </w:r>
    </w:p>
    <w:p>
      <w:pPr>
        <w:pStyle w:val="Heading1"/>
      </w:pPr>
      <w:r>
        <w:rPr>
          <w:b/>
          <w:color w:val="1A1A2E"/>
        </w:rPr>
        <w:t>¿Qué es AI Visibility?</w:t>
      </w:r>
    </w:p>
    <w:p>
      <w:pPr>
        <w:spacing w:after="160"/>
      </w:pPr>
      <w:r>
        <w:t>AI Visibility es una plataforma SaaS que permite a las empresas saber exactamente cómo las recomienda —o ignora— la inteligencia artificial cuando un consumidor hace una pregunta de compra.</w:t>
      </w:r>
    </w:p>
    <w:p>
      <w:pPr>
        <w:spacing w:after="160"/>
      </w:pPr>
      <w:r>
        <w:t>Así como el SEO mide y mejora tu posición en Google, AI Visibility hace lo mismo para ChatGPT, Perplexity y Google AI Overviews: los nuevos canales donde se toman las decisiones de compra.</w:t>
      </w:r>
    </w:p>
    <w:p/>
    <w:p>
      <w:pPr>
        <w:pStyle w:val="Heading1"/>
      </w:pPr>
      <w:r>
        <w:rPr>
          <w:b/>
          <w:color w:val="1A1A2E"/>
        </w:rPr>
        <w:t>El problema</w:t>
      </w:r>
    </w:p>
    <w:p>
      <w:pPr>
        <w:spacing w:after="160"/>
      </w:pPr>
      <w:r>
        <w:t>Hoy, millones de consumidores preguntan a la IA antes de comprar. La IA responde con una recomendación específica. Las marcas que aparecen en esa respuesta ganan. Las que no, pierden — y ni siquiera lo saben.</w:t>
      </w:r>
    </w:p>
    <w:p>
      <w:pPr>
        <w:spacing w:after="160"/>
        <w:ind w:left="576"/>
      </w:pPr>
      <w:r>
        <w:rPr>
          <w:i/>
          <w:color w:val="444488"/>
        </w:rPr>
        <w:t>"¿Qué banco recomiendas para una cuenta corriente en Chile?"</w:t>
        <w:br/>
        <w:t>"¿Cuál es el mejor seguro de vida para jóvenes?"</w:t>
        <w:br/>
        <w:t>"¿Qué fintech tiene mejores tasas?"</w:t>
      </w:r>
    </w:p>
    <w:p>
      <w:pPr>
        <w:spacing w:after="160"/>
      </w:pPr>
      <w:r>
        <w:t>Estas preguntas ya no se googlear — se le hacen a la IA. Y la IA tiene su propio ranking.</w:t>
      </w:r>
    </w:p>
    <w:p/>
    <w:p>
      <w:pPr>
        <w:pStyle w:val="Heading1"/>
      </w:pPr>
      <w:r>
        <w:rPr>
          <w:b/>
          <w:color w:val="1A1A2E"/>
        </w:rPr>
        <w:t>Lo que entregamos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r>
              <w:rPr>
                <w:b/>
                <w:color w:val="FFFFFF"/>
              </w:rPr>
              <w:t>Qué medimos</w:t>
            </w:r>
          </w:p>
        </w:tc>
        <w:tc>
          <w:tcPr>
            <w:tcW w:type="dxa" w:w="4320"/>
            <w:shd w:fill="1a1a2e"/>
          </w:tcPr>
          <w:p>
            <w:r>
              <w:rPr>
                <w:b/>
                <w:color w:val="FFFFFF"/>
              </w:rPr>
              <w:t>Para qué sirve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Posición en IA</w:t>
            </w:r>
          </w:p>
        </w:tc>
        <w:tc>
          <w:tcPr>
            <w:tcW w:type="dxa" w:w="4320"/>
          </w:tcPr>
          <w:p>
            <w:r>
              <w:t>Saber si la IA te recomienda antes o después que a tu competencia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Sentimiento</w:t>
            </w:r>
          </w:p>
        </w:tc>
        <w:tc>
          <w:tcPr>
            <w:tcW w:type="dxa" w:w="4320"/>
          </w:tcPr>
          <w:p>
            <w:r>
              <w:t>Entender cómo habla la IA de tu marca: positivo, neutro o negativo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Share of Voice</w:t>
            </w:r>
          </w:p>
        </w:tc>
        <w:tc>
          <w:tcPr>
            <w:tcW w:type="dxa" w:w="4320"/>
          </w:tcPr>
          <w:p>
            <w:r>
              <w:t>Ver qué % del mercado en IA está ocupando tu marca hoy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Radar de intención</w:t>
            </w:r>
          </w:p>
        </w:tc>
        <w:tc>
          <w:tcPr>
            <w:tcW w:type="dxa" w:w="4320"/>
          </w:tcPr>
          <w:p>
            <w:r>
              <w:t>Descubrir qué perfiles de cliente buscan tu categoría y a quién les recomiendan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Plan de acción</w:t>
            </w:r>
          </w:p>
        </w:tc>
        <w:tc>
          <w:tcPr>
            <w:tcW w:type="dxa" w:w="4320"/>
          </w:tcPr>
          <w:p>
            <w:r>
              <w:t>Recibir pasos concretos para mejorar tu posición en el ranking de la IA</w:t>
            </w:r>
          </w:p>
        </w:tc>
      </w:tr>
    </w:tbl>
    <w:p/>
    <w:p>
      <w:pPr>
        <w:pStyle w:val="Heading1"/>
      </w:pPr>
      <w:r>
        <w:rPr>
          <w:b/>
          <w:color w:val="1A1A2E"/>
        </w:rPr>
        <w:t>Dos formas de comprar</w:t>
      </w:r>
    </w:p>
    <w:p>
      <w:pPr>
        <w:spacing w:after="160"/>
      </w:pPr>
      <w:r>
        <w:t>AI Visibility se adapta a cómo cada empresa prefiere trabajar. Ofrecemos dos modelos de acceso:</w:t>
      </w:r>
    </w:p>
    <w:p/>
    <w:p>
      <w:pPr>
        <w:pStyle w:val="Heading2"/>
      </w:pPr>
      <w:r>
        <w:rPr>
          <w:b/>
          <w:color w:val="1A1A2E"/>
        </w:rPr>
        <w:t>Modelo 1 — Informe de Marca con Consultoría</w:t>
      </w:r>
    </w:p>
    <w:p>
      <w:pPr>
        <w:spacing w:after="120"/>
        <w:shd w:fill="3d5a80"/>
      </w:pPr>
      <w:r>
        <w:rPr>
          <w:b/>
          <w:color w:val="FFFFFF"/>
          <w:sz w:val="20"/>
        </w:rPr>
        <w:t xml:space="preserve">  SERVICIO PREMIUM — PARA EMPRESAS  </w:t>
      </w:r>
    </w:p>
    <w:p>
      <w:pPr>
        <w:spacing w:after="160"/>
      </w:pPr>
      <w:r>
        <w:t>Ideal para empresas que quieren resultados sin curva de aprendizaje. Nuestro equipo realiza la auditoría completa de la marca, la analiza con criterio experto y entrega un informe ejecutivo listo para presentar en directorio.</w:t>
      </w:r>
    </w:p>
    <w:p>
      <w:pPr>
        <w:spacing w:after="160"/>
      </w:pPr>
      <w:r>
        <w:t>Incluye:</w:t>
      </w:r>
    </w:p>
    <w:p>
      <w:pPr>
        <w:pStyle w:val="ListBullet"/>
        <w:ind w:left="432"/>
      </w:pPr>
      <w:r>
        <w:t>Auditoría de visibilidad en IA para la marca del cliente (ChatGPT, Gemini, Perplexity)</w:t>
      </w:r>
    </w:p>
    <w:p>
      <w:pPr>
        <w:pStyle w:val="ListBullet"/>
        <w:ind w:left="432"/>
      </w:pPr>
      <w:r>
        <w:t>Análisis comparativo contra los principales competidores del sector</w:t>
      </w:r>
    </w:p>
    <w:p>
      <w:pPr>
        <w:pStyle w:val="ListBullet"/>
        <w:ind w:left="432"/>
      </w:pPr>
      <w:r>
        <w:t>Mapa de sentimiento y frases exactas que usa la IA sobre la marca</w:t>
      </w:r>
    </w:p>
    <w:p>
      <w:pPr>
        <w:pStyle w:val="ListBullet"/>
        <w:ind w:left="432"/>
      </w:pPr>
      <w:r>
        <w:t>Plan de acción priorizado: qué contenido crear o modificar para subir en el ranking</w:t>
      </w:r>
    </w:p>
    <w:p>
      <w:pPr>
        <w:pStyle w:val="ListBullet"/>
        <w:ind w:left="432"/>
      </w:pPr>
      <w:r>
        <w:t>Informe ejecutivo en PDF revisado y validado por un experto en AI Visibility</w:t>
      </w:r>
    </w:p>
    <w:p>
      <w:pPr>
        <w:pStyle w:val="ListBullet"/>
        <w:ind w:left="432"/>
      </w:pPr>
      <w:r>
        <w:t>Sesión de presentación de resultados con el equipo del cliente</w:t>
      </w:r>
    </w:p>
    <w:p/>
    <w:p>
      <w:pPr>
        <w:spacing w:after="160"/>
      </w:pPr>
      <w:r>
        <w:t>Planes disponibles según tamaño de empresa: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3d5a80"/>
          </w:tcPr>
          <w:p>
            <w:r>
              <w:rPr>
                <w:b/>
                <w:color w:val="FFFFFF"/>
              </w:rPr>
              <w:t>Plan</w:t>
            </w:r>
          </w:p>
        </w:tc>
        <w:tc>
          <w:tcPr>
            <w:tcW w:type="dxa" w:w="2160"/>
            <w:shd w:fill="3d5a80"/>
          </w:tcPr>
          <w:p>
            <w:r>
              <w:rPr>
                <w:b/>
                <w:color w:val="FFFFFF"/>
              </w:rPr>
              <w:t>Para quién</w:t>
            </w:r>
          </w:p>
        </w:tc>
        <w:tc>
          <w:tcPr>
            <w:tcW w:type="dxa" w:w="2160"/>
            <w:shd w:fill="3d5a80"/>
          </w:tcPr>
          <w:p>
            <w:r>
              <w:rPr>
                <w:b/>
                <w:color w:val="FFFFFF"/>
              </w:rPr>
              <w:t>Qué incluye</w:t>
            </w:r>
          </w:p>
        </w:tc>
        <w:tc>
          <w:tcPr>
            <w:tcW w:type="dxa" w:w="2160"/>
            <w:shd w:fill="3d5a80"/>
          </w:tcPr>
          <w:p>
            <w:r>
              <w:rPr>
                <w:b/>
                <w:color w:val="FFFFFF"/>
              </w:rPr>
              <w:t>Precio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PyME</w:t>
            </w:r>
          </w:p>
        </w:tc>
        <w:tc>
          <w:tcPr>
            <w:tcW w:type="dxa" w:w="2160"/>
          </w:tcPr>
          <w:p>
            <w:r>
              <w:t>Empresas pequeñas (hasta 50 empleados)</w:t>
            </w:r>
          </w:p>
        </w:tc>
        <w:tc>
          <w:tcPr>
            <w:tcW w:type="dxa" w:w="2160"/>
          </w:tcPr>
          <w:p>
            <w:r>
              <w:t>1 marca · 3 consultas de mercado · informe PDF · 1 sesión de presentación (45 min)</w:t>
            </w:r>
          </w:p>
        </w:tc>
        <w:tc>
          <w:tcPr>
            <w:tcW w:type="dxa" w:w="2160"/>
          </w:tcPr>
          <w:p>
            <w:r>
              <w:t>USD $350 / informe</w:t>
              <w:br/>
              <w:t>USD $290 / mes (suscripción)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Mediana Empresa</w:t>
            </w:r>
          </w:p>
        </w:tc>
        <w:tc>
          <w:tcPr>
            <w:tcW w:type="dxa" w:w="2160"/>
          </w:tcPr>
          <w:p>
            <w:r>
              <w:t>Empresas medianas (50–500 empleados)</w:t>
            </w:r>
          </w:p>
        </w:tc>
        <w:tc>
          <w:tcPr>
            <w:tcW w:type="dxa" w:w="2160"/>
          </w:tcPr>
          <w:p>
            <w:r>
              <w:t>1 marca · 10 consultas de mercado · benchmark vs 3 competidores · informe PDF ejecutivo · 2 sesiones de presentación · seguimiento mensual</w:t>
            </w:r>
          </w:p>
        </w:tc>
        <w:tc>
          <w:tcPr>
            <w:tcW w:type="dxa" w:w="2160"/>
          </w:tcPr>
          <w:p>
            <w:r>
              <w:t>USD $800 / informe</w:t>
              <w:br/>
              <w:t>USD $650 / mes (suscripción)</w:t>
            </w:r>
          </w:p>
        </w:tc>
      </w:tr>
    </w:tbl>
    <w:p/>
    <w:p>
      <w:pPr>
        <w:pStyle w:val="Heading2"/>
      </w:pPr>
      <w:r>
        <w:rPr>
          <w:b/>
          <w:color w:val="1A1A2E"/>
        </w:rPr>
        <w:t>Modelo 2 — Plataforma SaaS (autoservicio online)</w:t>
      </w:r>
    </w:p>
    <w:p>
      <w:pPr>
        <w:spacing w:after="120"/>
        <w:shd w:fill="2d6a4f"/>
      </w:pPr>
      <w:r>
        <w:rPr>
          <w:b/>
          <w:color w:val="FFFFFF"/>
          <w:sz w:val="20"/>
        </w:rPr>
        <w:t xml:space="preserve">  PLATAFORMA WEB — SUSCRIPCIÓN ONLINE  </w:t>
      </w:r>
    </w:p>
    <w:p>
      <w:pPr>
        <w:spacing w:after="160"/>
      </w:pPr>
      <w:r>
        <w:t>Acceso directo a la plataforma web. El equipo del cliente puede lanzar auditorías, ver dashboards en tiempo real y monitorear su posición en IA sin depender de nadie externo.</w:t>
      </w:r>
    </w:p>
    <w:p>
      <w:pPr>
        <w:spacing w:after="160"/>
      </w:pPr>
      <w:r>
        <w:t>Incluye:</w:t>
      </w:r>
    </w:p>
    <w:p>
      <w:pPr>
        <w:pStyle w:val="ListBullet"/>
        <w:ind w:left="432"/>
      </w:pPr>
      <w:r>
        <w:t>Acceso ilimitado a la plataforma desde el navegador, sin instalación</w:t>
      </w:r>
    </w:p>
    <w:p>
      <w:pPr>
        <w:pStyle w:val="ListBullet"/>
        <w:ind w:left="432"/>
      </w:pPr>
      <w:r>
        <w:t>Auditorías de marca en tiempo real con resultados en segundos</w:t>
      </w:r>
    </w:p>
    <w:p>
      <w:pPr>
        <w:pStyle w:val="ListBullet"/>
        <w:ind w:left="432"/>
      </w:pPr>
      <w:r>
        <w:t>Dashboard interactivo con histórico de evolución de posición</w:t>
      </w:r>
    </w:p>
    <w:p>
      <w:pPr>
        <w:pStyle w:val="ListBullet"/>
        <w:ind w:left="432"/>
      </w:pPr>
      <w:r>
        <w:t>Comparativa automática contra competidores configurables</w:t>
      </w:r>
    </w:p>
    <w:p>
      <w:pPr>
        <w:pStyle w:val="ListBullet"/>
        <w:ind w:left="432"/>
      </w:pPr>
      <w:r>
        <w:t>Alertas de cambio de posición o sentimiento en IA</w:t>
      </w:r>
    </w:p>
    <w:p>
      <w:pPr>
        <w:pStyle w:val="ListBullet"/>
        <w:ind w:left="432"/>
      </w:pPr>
      <w:r>
        <w:t>Gestión de múltiples marcas desde una sola cuenta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d6a4f"/>
          </w:tcPr>
          <w:p>
            <w:r>
              <w:rPr>
                <w:b/>
                <w:color w:val="FFFFFF"/>
              </w:rPr>
              <w:t>Plan</w:t>
            </w:r>
          </w:p>
        </w:tc>
        <w:tc>
          <w:tcPr>
            <w:tcW w:type="dxa" w:w="2880"/>
            <w:shd w:fill="2d6a4f"/>
          </w:tcPr>
          <w:p>
            <w:r>
              <w:rPr>
                <w:b/>
                <w:color w:val="FFFFFF"/>
              </w:rPr>
              <w:t>Precio</w:t>
            </w:r>
          </w:p>
        </w:tc>
        <w:tc>
          <w:tcPr>
            <w:tcW w:type="dxa" w:w="2880"/>
            <w:shd w:fill="2d6a4f"/>
          </w:tcPr>
          <w:p>
            <w:r>
              <w:rPr>
                <w:b/>
                <w:color w:val="FFFFFF"/>
              </w:rPr>
              <w:t>Incluye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Starter</w:t>
            </w:r>
          </w:p>
        </w:tc>
        <w:tc>
          <w:tcPr>
            <w:tcW w:type="dxa" w:w="2880"/>
          </w:tcPr>
          <w:p>
            <w:r>
              <w:t>USD $99 / mes</w:t>
            </w:r>
          </w:p>
        </w:tc>
        <w:tc>
          <w:tcPr>
            <w:tcW w:type="dxa" w:w="2880"/>
          </w:tcPr>
          <w:p>
            <w:r>
              <w:t>50 auditorías · 1 marca · 2 motores de IA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Growth</w:t>
            </w:r>
          </w:p>
        </w:tc>
        <w:tc>
          <w:tcPr>
            <w:tcW w:type="dxa" w:w="2880"/>
          </w:tcPr>
          <w:p>
            <w:r>
              <w:t>USD $299 / mes</w:t>
            </w:r>
          </w:p>
        </w:tc>
        <w:tc>
          <w:tcPr>
            <w:tcW w:type="dxa" w:w="2880"/>
          </w:tcPr>
          <w:p>
            <w:r>
              <w:t>300 auditorías · 5 marcas · 4 motores · histórico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Enterprise</w:t>
            </w:r>
          </w:p>
        </w:tc>
        <w:tc>
          <w:tcPr>
            <w:tcW w:type="dxa" w:w="2880"/>
          </w:tcPr>
          <w:p>
            <w:r>
              <w:t>A convenir</w:t>
            </w:r>
          </w:p>
        </w:tc>
        <w:tc>
          <w:tcPr>
            <w:tcW w:type="dxa" w:w="2880"/>
          </w:tcPr>
          <w:p>
            <w:r>
              <w:t>Ilimitado · API · reportes PDF · SLA</w:t>
            </w:r>
          </w:p>
        </w:tc>
      </w:tr>
    </w:tbl>
    <w:p/>
    <w:p>
      <w:pPr>
        <w:pStyle w:val="Heading1"/>
      </w:pPr>
      <w:r>
        <w:rPr>
          <w:b/>
          <w:color w:val="1A1A2E"/>
        </w:rPr>
        <w:t>A quién va dirigido</w:t>
      </w:r>
    </w:p>
    <w:p>
      <w:pPr>
        <w:pStyle w:val="ListBullet"/>
        <w:ind w:left="432"/>
      </w:pPr>
      <w:r>
        <w:t>Gerentes de Marketing de bancos, retail y fintechs</w:t>
      </w:r>
    </w:p>
    <w:p>
      <w:pPr>
        <w:pStyle w:val="ListBullet"/>
        <w:ind w:left="432"/>
      </w:pPr>
      <w:r>
        <w:t>Agencias digitales que reportan share of voice a sus clientes</w:t>
      </w:r>
    </w:p>
    <w:p>
      <w:pPr>
        <w:pStyle w:val="ListBullet"/>
        <w:ind w:left="432"/>
      </w:pPr>
      <w:r>
        <w:t>Cualquier empresa que compite en mercados donde la IA ya influye la compra</w:t>
      </w:r>
    </w:p>
    <w:p/>
    <w:p>
      <w:pPr>
        <w:pStyle w:val="Heading1"/>
      </w:pPr>
      <w:r>
        <w:rPr>
          <w:b/>
          <w:color w:val="1A1A2E"/>
        </w:rPr>
        <w:t>La oportunidad</w:t>
      </w:r>
    </w:p>
    <w:p>
      <w:pPr>
        <w:spacing w:after="160"/>
      </w:pPr>
      <w:r>
        <w:t>El mercado de AI Search Optimization es el SEO de 2005. Quien lo adopte primero en su industria construirá una ventaja de datos que será muy difícil de alcanzar después.</w:t>
      </w:r>
    </w:p>
    <w:p/>
    <w:p>
      <w:pPr>
        <w:jc w:val="center"/>
      </w:pPr>
      <w:r>
        <w:rPr>
          <w:b/>
          <w:i/>
          <w:color w:val="CC4444"/>
          <w:sz w:val="24"/>
        </w:rPr>
        <w:t>La pregunta no es si deberías medir tu visibilidad en IA.</w:t>
        <w:br/>
        <w:t>La pregunta es cuánto share of voice estás perdiendo mientras no lo haces.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