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sz w:val="64"/>
          <w:szCs w:val="64"/>
        </w:rPr>
        <w:t xml:space="preserve">AutoTrust</w:t>
      </w:r>
    </w:p>
    <w:p>
      <w:pPr>
        <w:spacing w:after="60" w:before="0"/>
        <w:jc w:val="center"/>
      </w:pPr>
      <w:r>
        <w:rPr>
          <w:rFonts w:ascii="Arial" w:cs="Arial" w:eastAsia="Arial" w:hAnsi="Arial"/>
          <w:i/>
          <w:iCs/>
          <w:sz w:val="26"/>
          <w:szCs w:val="26"/>
        </w:rPr>
        <w:t xml:space="preserve">Vehicle Reliability Intelligence Platform</w:t>
      </w:r>
    </w:p>
    <w:p>
      <w:pPr>
        <w:spacing w:after="400" w:before="0"/>
        <w:jc w:val="center"/>
      </w:pPr>
      <w:r>
        <w:rPr>
          <w:rFonts w:ascii="Arial" w:cs="Arial" w:eastAsia="Arial" w:hAnsi="Arial"/>
          <w:sz w:val="22"/>
          <w:szCs w:val="22"/>
        </w:rPr>
        <w:t xml:space="preserve">Technical Documentation</w:t>
      </w:r>
    </w:p>
    <w:p>
      <w:pPr>
        <w:pBdr>
          <w:top w:val="single" w:color="AAAAAA" w:sz="4" w:space="8"/>
        </w:pBdr>
        <w:spacing w:after="40" w:before="200"/>
        <w:jc w:val="center"/>
      </w:pPr>
      <w:r>
        <w:rPr>
          <w:rFonts w:ascii="Arial" w:cs="Arial" w:eastAsia="Arial" w:hAnsi="Arial"/>
          <w:sz w:val="20"/>
          <w:szCs w:val="20"/>
        </w:rPr>
        <w:t xml:space="preserve">Author: Pius Kojo</w:t>
      </w:r>
    </w:p>
    <w:p>
      <w:pPr>
        <w:spacing w:after="40" w:before="0"/>
        <w:jc w:val="center"/>
      </w:pPr>
      <w:r>
        <w:rPr>
          <w:rFonts w:ascii="Arial" w:cs="Arial" w:eastAsia="Arial" w:hAnsi="Arial"/>
          <w:sz w:val="20"/>
          <w:szCs w:val="20"/>
        </w:rPr>
        <w:t xml:space="preserve">GitHub: github.com/Og-Kojo/autotrust-vehicle-reliability</w:t>
      </w:r>
    </w:p>
    <w:p>
      <w:pPr>
        <w:spacing w:after="40" w:before="0"/>
        <w:jc w:val="center"/>
      </w:pPr>
      <w:r>
        <w:rPr>
          <w:rFonts w:ascii="Arial" w:cs="Arial" w:eastAsia="Arial" w:hAnsi="Arial"/>
          <w:sz w:val="20"/>
          <w:szCs w:val="20"/>
        </w:rPr>
        <w:t xml:space="preserve">Platform: Microsoft Fabric · Power BI</w:t>
      </w:r>
    </w:p>
    <w:p>
      <w:pPr>
        <w:spacing w:after="40" w:before="0"/>
        <w:jc w:val="center"/>
      </w:pPr>
      <w:r>
        <w:rPr>
          <w:rFonts w:ascii="Arial" w:cs="Arial" w:eastAsia="Arial" w:hAnsi="Arial"/>
          <w:sz w:val="20"/>
          <w:szCs w:val="20"/>
        </w:rPr>
        <w:t xml:space="preserve">Stack: PySpark · Delta Lake · DAX · EPA API · NHTSA API</w:t>
      </w:r>
    </w:p>
    <w:p>
      <w:pPr>
        <w:spacing w:after="200" w:before="0"/>
        <w:jc w:val="center"/>
      </w:pPr>
      <w:r>
        <w:rPr>
          <w:rFonts w:ascii="Arial" w:cs="Arial" w:eastAsia="Arial" w:hAnsi="Arial"/>
          <w:sz w:val="20"/>
          <w:szCs w:val="20"/>
        </w:rPr>
        <w:t xml:space="preserve">Version 1.0 — April 2026</w:t>
      </w:r>
    </w:p>
    <w:p>
      <w:pPr>
        <w:spacing w:after="0" w:before="80"/>
      </w:pPr>
      <w:r>
        <w:t xml:space="preserve"/>
      </w:r>
    </w:p>
    <w:p>
      <w:pPr>
        <w:spacing w:after="100" w:before="60" w:line="320"/>
        <w:jc w:val="both"/>
      </w:pPr>
      <w:r>
        <w:rPr>
          <w:rFonts w:ascii="Arial" w:cs="Arial" w:eastAsia="Arial" w:hAnsi="Arial"/>
          <w:sz w:val="20"/>
          <w:szCs w:val="20"/>
        </w:rPr>
        <w:t xml:space="preserve">This document provides a complete technical reference for the AutoTrust Vehicle Reliability Intelligence Platform — an end-to-end data engineering project built on Microsoft Fabric. It covers every layer of the system: data ingestion, medallion architecture, scoring logic, star schema design, DAX measures, Power BI visual decisions, and pipeline automation. The goal is to enable any data engineer to understand, replicate, or extend the project from scratch.</w:t>
      </w:r>
    </w:p>
    <w:p>
      <w:r>
        <w:br w:type="page"/>
      </w:r>
    </w:p>
    <w:p>
      <w:pPr>
        <w:pStyle w:val="Heading1"/>
        <w:spacing w:after="120" w:before="360"/>
      </w:pPr>
      <w:r>
        <w:rPr>
          <w:rFonts w:ascii="Arial" w:cs="Arial" w:eastAsia="Arial" w:hAnsi="Arial"/>
          <w:b/>
          <w:bCs/>
          <w:sz w:val="28"/>
          <w:szCs w:val="28"/>
        </w:rPr>
        <w:t xml:space="preserve">Table of Contents</w:t>
      </w:r>
    </w:p>
    <w:p>
      <w:pPr>
        <w:spacing w:after="0" w:before="80"/>
      </w:pPr>
      <w:r>
        <w:t xml:space="preserve"/>
      </w:r>
    </w:p>
    <w:p>
      <w:pPr>
        <w:spacing w:after="60" w:before="60"/>
      </w:pPr>
      <w:r>
        <w:rPr>
          <w:rFonts w:ascii="Arial" w:cs="Arial" w:eastAsia="Arial" w:hAnsi="Arial"/>
          <w:sz w:val="22"/>
          <w:szCs w:val="22"/>
        </w:rPr>
        <w:t xml:space="preserve">1.    Project Overview</w:t>
      </w:r>
    </w:p>
    <w:p>
      <w:pPr>
        <w:spacing w:after="60" w:before="60"/>
      </w:pPr>
      <w:r>
        <w:rPr>
          <w:rFonts w:ascii="Arial" w:cs="Arial" w:eastAsia="Arial" w:hAnsi="Arial"/>
          <w:sz w:val="22"/>
          <w:szCs w:val="22"/>
        </w:rPr>
        <w:t xml:space="preserve">2.    Data Sources</w:t>
      </w:r>
    </w:p>
    <w:p>
      <w:pPr>
        <w:spacing w:after="60" w:before="60"/>
      </w:pPr>
      <w:r>
        <w:rPr>
          <w:rFonts w:ascii="Arial" w:cs="Arial" w:eastAsia="Arial" w:hAnsi="Arial"/>
          <w:sz w:val="22"/>
          <w:szCs w:val="22"/>
        </w:rPr>
        <w:t xml:space="preserve">3.    Medallion Architecture</w:t>
      </w:r>
    </w:p>
    <w:p>
      <w:pPr>
        <w:spacing w:after="60" w:before="60"/>
      </w:pPr>
      <w:r>
        <w:rPr>
          <w:rFonts w:ascii="Arial" w:cs="Arial" w:eastAsia="Arial" w:hAnsi="Arial"/>
          <w:sz w:val="22"/>
          <w:szCs w:val="22"/>
        </w:rPr>
        <w:t xml:space="preserve">4.    Bronze Layer — Ingestion</w:t>
      </w:r>
    </w:p>
    <w:p>
      <w:pPr>
        <w:spacing w:after="60" w:before="60"/>
      </w:pPr>
      <w:r>
        <w:rPr>
          <w:rFonts w:ascii="Arial" w:cs="Arial" w:eastAsia="Arial" w:hAnsi="Arial"/>
          <w:sz w:val="22"/>
          <w:szCs w:val="22"/>
        </w:rPr>
        <w:t xml:space="preserve">5.    Silver Layer — Transformation</w:t>
      </w:r>
    </w:p>
    <w:p>
      <w:pPr>
        <w:spacing w:after="60" w:before="60"/>
      </w:pPr>
      <w:r>
        <w:rPr>
          <w:rFonts w:ascii="Arial" w:cs="Arial" w:eastAsia="Arial" w:hAnsi="Arial"/>
          <w:sz w:val="22"/>
          <w:szCs w:val="22"/>
        </w:rPr>
        <w:t xml:space="preserve">6.    Gold Layer — Aggregation &amp; Scoring</w:t>
      </w:r>
    </w:p>
    <w:p>
      <w:pPr>
        <w:spacing w:after="60" w:before="60"/>
      </w:pPr>
      <w:r>
        <w:rPr>
          <w:rFonts w:ascii="Arial" w:cs="Arial" w:eastAsia="Arial" w:hAnsi="Arial"/>
          <w:sz w:val="22"/>
          <w:szCs w:val="22"/>
        </w:rPr>
        <w:t xml:space="preserve">7.    Fuel Economy Integration</w:t>
      </w:r>
    </w:p>
    <w:p>
      <w:pPr>
        <w:spacing w:after="60" w:before="60"/>
      </w:pPr>
      <w:r>
        <w:rPr>
          <w:rFonts w:ascii="Arial" w:cs="Arial" w:eastAsia="Arial" w:hAnsi="Arial"/>
          <w:sz w:val="22"/>
          <w:szCs w:val="22"/>
        </w:rPr>
        <w:t xml:space="preserve">8.    Star Schema — Data Model</w:t>
      </w:r>
    </w:p>
    <w:p>
      <w:pPr>
        <w:spacing w:after="60" w:before="60"/>
      </w:pPr>
      <w:r>
        <w:rPr>
          <w:rFonts w:ascii="Arial" w:cs="Arial" w:eastAsia="Arial" w:hAnsi="Arial"/>
          <w:sz w:val="22"/>
          <w:szCs w:val="22"/>
        </w:rPr>
        <w:t xml:space="preserve">9.    Fabric Data Pipeline</w:t>
      </w:r>
    </w:p>
    <w:p>
      <w:pPr>
        <w:spacing w:after="60" w:before="60"/>
      </w:pPr>
      <w:r>
        <w:rPr>
          <w:rFonts w:ascii="Arial" w:cs="Arial" w:eastAsia="Arial" w:hAnsi="Arial"/>
          <w:sz w:val="22"/>
          <w:szCs w:val="22"/>
        </w:rPr>
        <w:t xml:space="preserve">10.    Power BI — Data Model &amp; Relationships</w:t>
      </w:r>
    </w:p>
    <w:p>
      <w:pPr>
        <w:spacing w:after="60" w:before="60"/>
      </w:pPr>
      <w:r>
        <w:rPr>
          <w:rFonts w:ascii="Arial" w:cs="Arial" w:eastAsia="Arial" w:hAnsi="Arial"/>
          <w:sz w:val="22"/>
          <w:szCs w:val="22"/>
        </w:rPr>
        <w:t xml:space="preserve">11.    Power BI — DAX Measures</w:t>
      </w:r>
    </w:p>
    <w:p>
      <w:pPr>
        <w:spacing w:after="60" w:before="60"/>
      </w:pPr>
      <w:r>
        <w:rPr>
          <w:rFonts w:ascii="Arial" w:cs="Arial" w:eastAsia="Arial" w:hAnsi="Arial"/>
          <w:sz w:val="22"/>
          <w:szCs w:val="22"/>
        </w:rPr>
        <w:t xml:space="preserve">12.    Power BI — Dashboard Pages</w:t>
      </w:r>
    </w:p>
    <w:p>
      <w:pPr>
        <w:spacing w:after="60" w:before="60"/>
      </w:pPr>
      <w:r>
        <w:rPr>
          <w:rFonts w:ascii="Arial" w:cs="Arial" w:eastAsia="Arial" w:hAnsi="Arial"/>
          <w:sz w:val="22"/>
          <w:szCs w:val="22"/>
        </w:rPr>
        <w:t xml:space="preserve">13.    GitHub Repository Structure</w:t>
      </w:r>
    </w:p>
    <w:p>
      <w:r>
        <w:br w:type="page"/>
      </w:r>
    </w:p>
    <w:p>
      <w:pPr>
        <w:pStyle w:val="Heading1"/>
        <w:spacing w:after="120" w:before="360"/>
      </w:pPr>
      <w:r>
        <w:rPr>
          <w:rFonts w:ascii="Arial" w:cs="Arial" w:eastAsia="Arial" w:hAnsi="Arial"/>
          <w:b/>
          <w:bCs/>
          <w:sz w:val="28"/>
          <w:szCs w:val="28"/>
        </w:rPr>
        <w:t xml:space="preserve">1. Project Overview</w:t>
      </w:r>
    </w:p>
    <w:p>
      <w:pPr>
        <w:spacing w:after="100" w:before="60" w:line="320"/>
        <w:jc w:val="both"/>
      </w:pPr>
      <w:r>
        <w:rPr>
          <w:rFonts w:ascii="Arial" w:cs="Arial" w:eastAsia="Arial" w:hAnsi="Arial"/>
          <w:sz w:val="20"/>
          <w:szCs w:val="20"/>
        </w:rPr>
        <w:t xml:space="preserve">AutoTrust is a Vehicle Reliability Intelligence Platform designed to help first-time used car buyers make data-driven purchase decisions. The platform ingests raw vehicle data from four public sources, transforms it through a three-layer medallion architecture, scores vehicles using a composite reliability formula, and surfaces insights through an interactive five-page Power BI report.</w:t>
      </w:r>
    </w:p>
    <w:p>
      <w:pPr>
        <w:spacing w:after="0" w:before="80"/>
      </w:pPr>
      <w:r>
        <w:t xml:space="preserve"/>
      </w:r>
    </w:p>
    <w:p>
      <w:pPr>
        <w:pStyle w:val="Heading2"/>
        <w:spacing w:after="80" w:before="240"/>
      </w:pPr>
      <w:r>
        <w:rPr>
          <w:rFonts w:ascii="Arial" w:cs="Arial" w:eastAsia="Arial" w:hAnsi="Arial"/>
          <w:b/>
          <w:bCs/>
          <w:sz w:val="24"/>
          <w:szCs w:val="24"/>
        </w:rPr>
        <w:t xml:space="preserve">1.1 Problem Statement</w:t>
      </w:r>
    </w:p>
    <w:p>
      <w:pPr>
        <w:spacing w:after="100" w:before="60" w:line="320"/>
        <w:jc w:val="both"/>
      </w:pPr>
      <w:r>
        <w:rPr>
          <w:rFonts w:ascii="Arial" w:cs="Arial" w:eastAsia="Arial" w:hAnsi="Arial"/>
          <w:sz w:val="20"/>
          <w:szCs w:val="20"/>
        </w:rPr>
        <w:t xml:space="preserve">First-time used car buyers lack access to a unified, data-driven platform that consolidates vehicle reliability intelligence — complaints, recalls, repair costs, and fuel economy — into a single interpretable scoring system. Raw data is scattered across government databases, manufacturer notices, and third-party repositories with no integration layer.</w:t>
      </w:r>
    </w:p>
    <w:p>
      <w:pPr>
        <w:spacing w:after="0" w:before="80"/>
      </w:pPr>
      <w:r>
        <w:t xml:space="preserve"/>
      </w:r>
    </w:p>
    <w:p>
      <w:pPr>
        <w:pStyle w:val="Heading2"/>
        <w:spacing w:after="80" w:before="240"/>
      </w:pPr>
      <w:r>
        <w:rPr>
          <w:rFonts w:ascii="Arial" w:cs="Arial" w:eastAsia="Arial" w:hAnsi="Arial"/>
          <w:b/>
          <w:bCs/>
          <w:sz w:val="24"/>
          <w:szCs w:val="24"/>
        </w:rPr>
        <w:t xml:space="preserve">1.2 Solution</w:t>
      </w:r>
    </w:p>
    <w:p>
      <w:pPr>
        <w:spacing w:after="100" w:before="60" w:line="320"/>
        <w:jc w:val="both"/>
      </w:pPr>
      <w:r>
        <w:rPr>
          <w:rFonts w:ascii="Arial" w:cs="Arial" w:eastAsia="Arial" w:hAnsi="Arial"/>
          <w:sz w:val="20"/>
          <w:szCs w:val="20"/>
        </w:rPr>
        <w:t xml:space="preserve">AutoTrust solves this by building a production-grade data pipeline on Microsoft Fabric that ingests, cleans, normalises, and scores 1,314 vehicle model/year combinations across 25 brands, delivering Gold-layer analytics to Power BI via Direct Lake mode.</w:t>
      </w:r>
    </w:p>
    <w:p>
      <w:pPr>
        <w:spacing w:after="0" w:before="80"/>
      </w:pPr>
      <w:r>
        <w:t xml:space="preserve"/>
      </w:r>
    </w:p>
    <w:p>
      <w:pPr>
        <w:pStyle w:val="Heading2"/>
        <w:spacing w:after="80" w:before="240"/>
      </w:pPr>
      <w:r>
        <w:rPr>
          <w:rFonts w:ascii="Arial" w:cs="Arial" w:eastAsia="Arial" w:hAnsi="Arial"/>
          <w:b/>
          <w:bCs/>
          <w:sz w:val="24"/>
          <w:szCs w:val="24"/>
        </w:rPr>
        <w:t xml:space="preserve">1.3 Key metrics</w:t>
      </w:r>
    </w:p>
    <w:p>
      <w:pPr>
        <w:pStyle w:val="ListParagraph"/>
        <w:numPr>
          <w:ilvl w:val="0"/>
          <w:numId w:val="2"/>
        </w:numPr>
        <w:spacing w:after="40" w:before="40" w:line="300"/>
      </w:pPr>
      <w:r>
        <w:rPr>
          <w:rFonts w:ascii="Arial" w:cs="Arial" w:eastAsia="Arial" w:hAnsi="Arial"/>
          <w:sz w:val="20"/>
          <w:szCs w:val="20"/>
        </w:rPr>
        <w:t xml:space="preserve">25 brands covered</w:t>
      </w:r>
    </w:p>
    <w:p>
      <w:pPr>
        <w:pStyle w:val="ListParagraph"/>
        <w:numPr>
          <w:ilvl w:val="0"/>
          <w:numId w:val="2"/>
        </w:numPr>
        <w:spacing w:after="40" w:before="40" w:line="300"/>
      </w:pPr>
      <w:r>
        <w:rPr>
          <w:rFonts w:ascii="Arial" w:cs="Arial" w:eastAsia="Arial" w:hAnsi="Arial"/>
          <w:sz w:val="20"/>
          <w:szCs w:val="20"/>
        </w:rPr>
        <w:t xml:space="preserve">1,314 vehicle model/year combinations scored</w:t>
      </w:r>
    </w:p>
    <w:p>
      <w:pPr>
        <w:pStyle w:val="ListParagraph"/>
        <w:numPr>
          <w:ilvl w:val="0"/>
          <w:numId w:val="2"/>
        </w:numPr>
        <w:spacing w:after="40" w:before="40" w:line="300"/>
      </w:pPr>
      <w:r>
        <w:rPr>
          <w:rFonts w:ascii="Arial" w:cs="Arial" w:eastAsia="Arial" w:hAnsi="Arial"/>
          <w:sz w:val="20"/>
          <w:szCs w:val="20"/>
        </w:rPr>
        <w:t xml:space="preserve">4 data sources integrated (NHTSA, Kaggle, RepairPal, EPA)</w:t>
      </w:r>
    </w:p>
    <w:p>
      <w:pPr>
        <w:pStyle w:val="ListParagraph"/>
        <w:numPr>
          <w:ilvl w:val="0"/>
          <w:numId w:val="2"/>
        </w:numPr>
        <w:spacing w:after="40" w:before="40" w:line="300"/>
      </w:pPr>
      <w:r>
        <w:rPr>
          <w:rFonts w:ascii="Arial" w:cs="Arial" w:eastAsia="Arial" w:hAnsi="Arial"/>
          <w:sz w:val="20"/>
          <w:szCs w:val="20"/>
        </w:rPr>
        <w:t xml:space="preserve">94% fuel economy data coverage (1,236 of 1,314 vehicles)</w:t>
      </w:r>
    </w:p>
    <w:p>
      <w:pPr>
        <w:pStyle w:val="ListParagraph"/>
        <w:numPr>
          <w:ilvl w:val="0"/>
          <w:numId w:val="2"/>
        </w:numPr>
        <w:spacing w:after="40" w:before="40" w:line="300"/>
      </w:pPr>
      <w:r>
        <w:rPr>
          <w:rFonts w:ascii="Arial" w:cs="Arial" w:eastAsia="Arial" w:hAnsi="Arial"/>
          <w:sz w:val="20"/>
          <w:szCs w:val="20"/>
        </w:rPr>
        <w:t xml:space="preserve">11 component failure categories</w:t>
      </w:r>
    </w:p>
    <w:p>
      <w:pPr>
        <w:pStyle w:val="ListParagraph"/>
        <w:numPr>
          <w:ilvl w:val="0"/>
          <w:numId w:val="2"/>
        </w:numPr>
        <w:spacing w:after="40" w:before="40" w:line="300"/>
      </w:pPr>
      <w:r>
        <w:rPr>
          <w:rFonts w:ascii="Arial" w:cs="Arial" w:eastAsia="Arial" w:hAnsi="Arial"/>
          <w:sz w:val="20"/>
          <w:szCs w:val="20"/>
        </w:rPr>
        <w:t xml:space="preserve">5 Power BI dashboard pages</w:t>
      </w:r>
    </w:p>
    <w:p>
      <w:r>
        <w:br w:type="page"/>
      </w:r>
    </w:p>
    <w:p>
      <w:pPr>
        <w:pStyle w:val="Heading1"/>
        <w:spacing w:after="120" w:before="360"/>
      </w:pPr>
      <w:r>
        <w:rPr>
          <w:rFonts w:ascii="Arial" w:cs="Arial" w:eastAsia="Arial" w:hAnsi="Arial"/>
          <w:b/>
          <w:bCs/>
          <w:sz w:val="28"/>
          <w:szCs w:val="28"/>
        </w:rPr>
        <w:t xml:space="preserve">2. Data Sources</w:t>
      </w:r>
    </w:p>
    <w:p>
      <w:pPr>
        <w:spacing w:after="100" w:before="60" w:line="320"/>
        <w:jc w:val="both"/>
      </w:pPr>
      <w:r>
        <w:rPr>
          <w:rFonts w:ascii="Arial" w:cs="Arial" w:eastAsia="Arial" w:hAnsi="Arial"/>
          <w:sz w:val="20"/>
          <w:szCs w:val="20"/>
        </w:rPr>
        <w:t xml:space="preserve">AutoTrust uses four public data sources. Each serves a distinct analytical purpose and contributes specific columns to the Gold layer fact 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360"/>
        <w:gridCol w:w="1200"/>
      </w:tblGrid>
      <w:tr>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Source</w:t>
            </w:r>
          </w:p>
        </w:tc>
        <w:tc>
          <w:tcPr>
            <w:tcW w:type="dxa" w:w="20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Type</w:t>
            </w:r>
          </w:p>
        </w:tc>
        <w:tc>
          <w:tcPr>
            <w:tcW w:type="dxa" w:w="3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Data Provided</w:t>
            </w:r>
          </w:p>
        </w:tc>
        <w:tc>
          <w:tcPr>
            <w:tcW w:type="dxa" w:w="1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Frequency</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NHTSA API</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REST API (live)</w:t>
            </w:r>
          </w:p>
        </w:tc>
        <w:tc>
          <w:tcPr>
            <w:tcW w:type="dxa" w:w="33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Complaints, recalls, safety ratings</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Daily</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Kaggle Dataset</w:t>
            </w:r>
          </w:p>
        </w:tc>
        <w:tc>
          <w:tcPr>
            <w:tcW w:type="dxa" w:w="20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CSV download</w:t>
            </w:r>
          </w:p>
        </w:tc>
        <w:tc>
          <w:tcPr>
            <w:tcW w:type="dxa" w:w="33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Owner reliability ratings, survey data</w:t>
            </w:r>
          </w:p>
        </w:tc>
        <w:tc>
          <w:tcPr>
            <w:tcW w:type="dxa" w:w="1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Static</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RepairPal</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Excel file</w:t>
            </w:r>
          </w:p>
        </w:tc>
        <w:tc>
          <w:tcPr>
            <w:tcW w:type="dxa" w:w="33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Annual maintenance costs, repair frequency</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Static</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EPA Fuel Economy API</w:t>
            </w:r>
          </w:p>
        </w:tc>
        <w:tc>
          <w:tcPr>
            <w:tcW w:type="dxa" w:w="20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REST API (live)</w:t>
            </w:r>
          </w:p>
        </w:tc>
        <w:tc>
          <w:tcPr>
            <w:tcW w:type="dxa" w:w="33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City/highway/combined MPG, annual fuel cost</w:t>
            </w:r>
          </w:p>
        </w:tc>
        <w:tc>
          <w:tcPr>
            <w:tcW w:type="dxa" w:w="1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Periodic</w:t>
            </w:r>
          </w:p>
        </w:tc>
      </w:tr>
    </w:tbl>
    <w:p>
      <w:pPr>
        <w:spacing w:after="0" w:before="120"/>
      </w:pPr>
      <w:r>
        <w:t xml:space="preserve"/>
      </w:r>
    </w:p>
    <w:p>
      <w:pPr>
        <w:pStyle w:val="Heading2"/>
        <w:spacing w:after="80" w:before="240"/>
      </w:pPr>
      <w:r>
        <w:rPr>
          <w:rFonts w:ascii="Arial" w:cs="Arial" w:eastAsia="Arial" w:hAnsi="Arial"/>
          <w:b/>
          <w:bCs/>
          <w:sz w:val="24"/>
          <w:szCs w:val="24"/>
        </w:rPr>
        <w:t xml:space="preserve">2.1 NHTSA API</w:t>
      </w:r>
    </w:p>
    <w:p>
      <w:pPr>
        <w:spacing w:after="100" w:before="60" w:line="320"/>
        <w:jc w:val="both"/>
      </w:pPr>
      <w:r>
        <w:rPr>
          <w:rFonts w:ascii="Arial" w:cs="Arial" w:eastAsia="Arial" w:hAnsi="Arial"/>
          <w:sz w:val="20"/>
          <w:szCs w:val="20"/>
        </w:rPr>
        <w:t xml:space="preserve">The National Highway Traffic Safety Administration API provides vehicle complaint and recall data. The API is called live on every pipeline run, ensuring the most current data. Key fields extracted: complaint ID, vehicle make/model/year, component category, incident date, issue description.</w:t>
      </w:r>
    </w:p>
    <w:p>
      <w:pPr>
        <w:spacing w:after="0" w:before="80"/>
      </w:pPr>
      <w:r>
        <w:t xml:space="preserve"/>
      </w:r>
    </w:p>
    <w:p>
      <w:pPr>
        <w:pStyle w:val="Heading2"/>
        <w:spacing w:after="80" w:before="240"/>
      </w:pPr>
      <w:r>
        <w:rPr>
          <w:rFonts w:ascii="Arial" w:cs="Arial" w:eastAsia="Arial" w:hAnsi="Arial"/>
          <w:b/>
          <w:bCs/>
          <w:sz w:val="24"/>
          <w:szCs w:val="24"/>
        </w:rPr>
        <w:t xml:space="preserve">2.2 EPA Fuel Economy API</w:t>
      </w:r>
    </w:p>
    <w:p>
      <w:pPr>
        <w:spacing w:after="100" w:before="60" w:line="320"/>
        <w:jc w:val="both"/>
      </w:pPr>
      <w:r>
        <w:rPr>
          <w:rFonts w:ascii="Arial" w:cs="Arial" w:eastAsia="Arial" w:hAnsi="Arial"/>
          <w:sz w:val="20"/>
          <w:szCs w:val="20"/>
        </w:rPr>
        <w:t xml:space="preserve">The EPA fuel economy web service provides MPG data and annual fuel cost estimates for all US market vehicles. The ingestion uses an incremental fetch pattern — only vehicles not already in the bronze fuel table are fetched each run. Where a model has multiple drivetrain variants, MPG values are averaged across all variants to produce one representative figure per make/model/year.</w:t>
      </w:r>
    </w:p>
    <w:p>
      <w:pPr>
        <w:spacing w:after="0" w:before="80"/>
      </w:pPr>
      <w:r>
        <w:t xml:space="preserve"/>
      </w:r>
    </w:p>
    <w:p>
      <w:pPr>
        <w:pStyle w:val="Heading2"/>
        <w:spacing w:after="80" w:before="240"/>
      </w:pPr>
      <w:r>
        <w:rPr>
          <w:rFonts w:ascii="Arial" w:cs="Arial" w:eastAsia="Arial" w:hAnsi="Arial"/>
          <w:b/>
          <w:bCs/>
          <w:sz w:val="24"/>
          <w:szCs w:val="24"/>
        </w:rPr>
        <w:t xml:space="preserve">2.3 Data coverage note</w:t>
      </w:r>
    </w:p>
    <w:p>
      <w:pPr>
        <w:spacing w:after="100" w:before="60" w:line="320"/>
        <w:jc w:val="both"/>
      </w:pPr>
      <w:r>
        <w:rPr>
          <w:rFonts w:ascii="Arial" w:cs="Arial" w:eastAsia="Arial" w:hAnsi="Arial"/>
          <w:sz w:val="20"/>
          <w:szCs w:val="20"/>
        </w:rPr>
        <w:t xml:space="preserve">94% of vehicles in the fact table (1,236 of 1,314) have fuel economy data. The remaining 6% are primarily 2025/2026 model year vehicles not yet listed in the EPA database. These vehicles have NULL values for fuel columns and are handled gracefully in the Gold join with COALESCE(fuel_cost, 0).</w:t>
      </w:r>
    </w:p>
    <w:p>
      <w:r>
        <w:br w:type="page"/>
      </w:r>
    </w:p>
    <w:p>
      <w:pPr>
        <w:pStyle w:val="Heading1"/>
        <w:spacing w:after="120" w:before="360"/>
      </w:pPr>
      <w:r>
        <w:rPr>
          <w:rFonts w:ascii="Arial" w:cs="Arial" w:eastAsia="Arial" w:hAnsi="Arial"/>
          <w:b/>
          <w:bCs/>
          <w:sz w:val="28"/>
          <w:szCs w:val="28"/>
        </w:rPr>
        <w:t xml:space="preserve">3. Medallion Architecture</w:t>
      </w:r>
    </w:p>
    <w:p>
      <w:pPr>
        <w:spacing w:after="100" w:before="60" w:line="320"/>
        <w:jc w:val="both"/>
      </w:pPr>
      <w:r>
        <w:rPr>
          <w:rFonts w:ascii="Arial" w:cs="Arial" w:eastAsia="Arial" w:hAnsi="Arial"/>
          <w:sz w:val="20"/>
          <w:szCs w:val="20"/>
        </w:rPr>
        <w:t xml:space="preserve">AutoTrust uses a three-layer medallion architecture hosted on Microsoft Fabric Lakehouse with Delta Lake as the storage format. Each layer serves a distinct purpose and enforces a specific level of data quality.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2960"/>
      </w:tblGrid>
      <w:tr>
        <w:tc>
          <w:tcPr>
            <w:tcW w:type="dxa" w:w="1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Layer</w:t>
            </w:r>
          </w:p>
        </w:tc>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Purpose</w:t>
            </w:r>
          </w:p>
        </w:tc>
        <w:tc>
          <w:tcPr>
            <w:tcW w:type="dxa" w:w="2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Quality level</w:t>
            </w:r>
          </w:p>
        </w:tc>
        <w:tc>
          <w:tcPr>
            <w:tcW w:type="dxa" w:w="29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Tables</w:t>
            </w:r>
          </w:p>
        </w:tc>
      </w:tr>
      <w:tr>
        <w:tc>
          <w:tcPr>
            <w:tcW w:type="dxa" w:w="1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Bronze</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Raw ingestion — data as received from source</w:t>
            </w:r>
          </w:p>
        </w:tc>
        <w:tc>
          <w:tcPr>
            <w:tcW w:type="dxa" w:w="2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Raw, unvalidated</w:t>
            </w:r>
          </w:p>
        </w:tc>
        <w:tc>
          <w:tcPr>
            <w:tcW w:type="dxa" w:w="2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complaints, recalls, maintenance_data, vehicle_images, logos, bronze_fuel_economy</w:t>
            </w:r>
          </w:p>
        </w:tc>
      </w:tr>
      <w:tr>
        <w:tc>
          <w:tcPr>
            <w:tcW w:type="dxa" w:w="1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Silver</w:t>
            </w:r>
          </w:p>
        </w:tc>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Cleaned, standardised, validated</w:t>
            </w:r>
          </w:p>
        </w:tc>
        <w:tc>
          <w:tcPr>
            <w:tcW w:type="dxa" w:w="2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Trusted, schema-enforced</w:t>
            </w:r>
          </w:p>
        </w:tc>
        <w:tc>
          <w:tcPr>
            <w:tcW w:type="dxa" w:w="2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silver_complaints, silver_recalls, silver_maintenance_data, silver_logos, silver_fuel_economy</w:t>
            </w:r>
          </w:p>
        </w:tc>
      </w:tr>
      <w:tr>
        <w:tc>
          <w:tcPr>
            <w:tcW w:type="dxa" w:w="1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Aggregated, scored, business-ready</w:t>
            </w:r>
          </w:p>
        </w:tc>
        <w:tc>
          <w:tcPr>
            <w:tcW w:type="dxa" w:w="2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Analytical, denormalised</w:t>
            </w:r>
          </w:p>
        </w:tc>
        <w:tc>
          <w:tcPr>
            <w:tcW w:type="dxa" w:w="2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gold_dim_make, gold_dim_vehicle, gold_dim_failure_category, gold_fact_vehicle_reliability</w:t>
            </w:r>
          </w:p>
        </w:tc>
      </w:tr>
    </w:tbl>
    <w:p>
      <w:pPr>
        <w:spacing w:after="0" w:before="120"/>
      </w:pPr>
      <w:r>
        <w:t xml:space="preserve"/>
      </w:r>
    </w:p>
    <w:p>
      <w:pPr>
        <w:pStyle w:val="Heading2"/>
        <w:spacing w:after="80" w:before="240"/>
      </w:pPr>
      <w:r>
        <w:rPr>
          <w:rFonts w:ascii="Arial" w:cs="Arial" w:eastAsia="Arial" w:hAnsi="Arial"/>
          <w:b/>
          <w:bCs/>
          <w:sz w:val="24"/>
          <w:szCs w:val="24"/>
        </w:rPr>
        <w:t xml:space="preserve">3.1 Why medallion architecture?</w:t>
      </w:r>
    </w:p>
    <w:p>
      <w:pPr>
        <w:spacing w:after="100" w:before="60" w:line="320"/>
        <w:jc w:val="both"/>
      </w:pPr>
      <w:r>
        <w:rPr>
          <w:rFonts w:ascii="Arial" w:cs="Arial" w:eastAsia="Arial" w:hAnsi="Arial"/>
          <w:sz w:val="20"/>
          <w:szCs w:val="20"/>
        </w:rPr>
        <w:t xml:space="preserve">Bronze preserves raw source fidelity — if a transformation introduces a bug, Bronze can be re-processed without re-calling the API. Silver enforces schema consistency across heterogeneous sources. Gold produces analytical outputs optimised for Power BI query performance via Direct Lake mode.</w:t>
      </w:r>
    </w:p>
    <w:p>
      <w:pPr>
        <w:spacing w:after="0" w:before="80"/>
      </w:pPr>
      <w:r>
        <w:t xml:space="preserve"/>
      </w:r>
    </w:p>
    <w:p>
      <w:pPr>
        <w:pStyle w:val="Heading2"/>
        <w:spacing w:after="80" w:before="240"/>
      </w:pPr>
      <w:r>
        <w:rPr>
          <w:rFonts w:ascii="Arial" w:cs="Arial" w:eastAsia="Arial" w:hAnsi="Arial"/>
          <w:b/>
          <w:bCs/>
          <w:sz w:val="24"/>
          <w:szCs w:val="24"/>
        </w:rPr>
        <w:t xml:space="preserve">3.2 Delta Lake</w:t>
      </w:r>
    </w:p>
    <w:p>
      <w:pPr>
        <w:spacing w:after="100" w:before="60" w:line="320"/>
        <w:jc w:val="both"/>
      </w:pPr>
      <w:r>
        <w:rPr>
          <w:rFonts w:ascii="Arial" w:cs="Arial" w:eastAsia="Arial" w:hAnsi="Arial"/>
          <w:sz w:val="20"/>
          <w:szCs w:val="20"/>
        </w:rPr>
        <w:t xml:space="preserve">All tables are stored as Delta Lake format, providing ACID transactions, time travel (point-in-time recovery), schema enforcement, and efficient overwrite/append semantics. The pipeline uses mode='overwrite' with overwriteSchema=True for full refreshes and mode='append' for incremental loads such as the fuel economy ingestion.</w:t>
      </w:r>
    </w:p>
    <w:p>
      <w:r>
        <w:br w:type="page"/>
      </w:r>
    </w:p>
    <w:p>
      <w:pPr>
        <w:pStyle w:val="Heading1"/>
        <w:spacing w:after="120" w:before="360"/>
      </w:pPr>
      <w:r>
        <w:rPr>
          <w:rFonts w:ascii="Arial" w:cs="Arial" w:eastAsia="Arial" w:hAnsi="Arial"/>
          <w:b/>
          <w:bCs/>
          <w:sz w:val="28"/>
          <w:szCs w:val="28"/>
        </w:rPr>
        <w:t xml:space="preserve">4. Bronze Layer — Ingestion</w:t>
      </w:r>
    </w:p>
    <w:p>
      <w:pPr>
        <w:pStyle w:val="Heading2"/>
        <w:spacing w:after="80" w:before="240"/>
      </w:pPr>
      <w:r>
        <w:rPr>
          <w:rFonts w:ascii="Arial" w:cs="Arial" w:eastAsia="Arial" w:hAnsi="Arial"/>
          <w:b/>
          <w:bCs/>
          <w:sz w:val="24"/>
          <w:szCs w:val="24"/>
        </w:rPr>
        <w:t xml:space="preserve">4.1 Bronze_ingestion notebook</w:t>
      </w:r>
    </w:p>
    <w:p>
      <w:pPr>
        <w:spacing w:after="100" w:before="60" w:line="320"/>
        <w:jc w:val="both"/>
      </w:pPr>
      <w:r>
        <w:rPr>
          <w:rFonts w:ascii="Arial" w:cs="Arial" w:eastAsia="Arial" w:hAnsi="Arial"/>
          <w:sz w:val="20"/>
          <w:szCs w:val="20"/>
        </w:rPr>
        <w:t xml:space="preserve">This notebook handles live data ingestion from three sources. It is the most time-intensive stage (~22 minutes) due to NHTSA API call volume. A retry wrapper handles timeouts and HTTP errors, falling back to the last known Bronze data if the API is unavailable.</w:t>
      </w:r>
    </w:p>
    <w:p>
      <w:pPr>
        <w:spacing w:after="0" w:before="80"/>
      </w:pPr>
      <w:r>
        <w:t xml:space="preserve"/>
      </w:r>
    </w:p>
    <w:p>
      <w:pPr>
        <w:pStyle w:val="Heading3"/>
        <w:spacing w:after="60" w:before="180"/>
      </w:pPr>
      <w:r>
        <w:rPr>
          <w:rFonts w:ascii="Arial" w:cs="Arial" w:eastAsia="Arial" w:hAnsi="Arial"/>
          <w:b/>
          <w:bCs/>
          <w:sz w:val="22"/>
          <w:szCs w:val="22"/>
        </w:rPr>
        <w:t xml:space="preserve">NHTSA API retry pattern:</w:t>
      </w:r>
    </w:p>
    <w:p>
      <w:pPr>
        <w:shd w:fill="F5F5F5" w:val="clear"/>
        <w:spacing w:after="0" w:before="0" w:line="260"/>
      </w:pPr>
      <w:r>
        <w:rPr>
          <w:rFonts w:ascii="Courier New" w:cs="Courier New" w:eastAsia="Courier New" w:hAnsi="Courier New"/>
          <w:sz w:val="17"/>
          <w:szCs w:val="17"/>
        </w:rPr>
        <w:t xml:space="preserve">def fetch_nhtsa_with_retry(url, retries=3, timeout=30):</w:t>
      </w:r>
    </w:p>
    <w:p>
      <w:pPr>
        <w:shd w:fill="F5F5F5" w:val="clear"/>
        <w:spacing w:after="0" w:before="0" w:line="260"/>
      </w:pPr>
      <w:r>
        <w:rPr>
          <w:rFonts w:ascii="Courier New" w:cs="Courier New" w:eastAsia="Courier New" w:hAnsi="Courier New"/>
          <w:sz w:val="17"/>
          <w:szCs w:val="17"/>
        </w:rPr>
        <w:t xml:space="preserve">    for attempt in range(retries):</w:t>
      </w:r>
    </w:p>
    <w:p>
      <w:pPr>
        <w:shd w:fill="F5F5F5" w:val="clear"/>
        <w:spacing w:after="0" w:before="0" w:line="260"/>
      </w:pPr>
      <w:r>
        <w:rPr>
          <w:rFonts w:ascii="Courier New" w:cs="Courier New" w:eastAsia="Courier New" w:hAnsi="Courier New"/>
          <w:sz w:val="17"/>
          <w:szCs w:val="17"/>
        </w:rPr>
        <w:t xml:space="preserve">        try:</w:t>
      </w:r>
    </w:p>
    <w:p>
      <w:pPr>
        <w:shd w:fill="F5F5F5" w:val="clear"/>
        <w:spacing w:after="0" w:before="0" w:line="260"/>
      </w:pPr>
      <w:r>
        <w:rPr>
          <w:rFonts w:ascii="Courier New" w:cs="Courier New" w:eastAsia="Courier New" w:hAnsi="Courier New"/>
          <w:sz w:val="17"/>
          <w:szCs w:val="17"/>
        </w:rPr>
        <w:t xml:space="preserve">            response = requests.get(url, timeout=timeout)</w:t>
      </w:r>
    </w:p>
    <w:p>
      <w:pPr>
        <w:shd w:fill="F5F5F5" w:val="clear"/>
        <w:spacing w:after="0" w:before="0" w:line="260"/>
      </w:pPr>
      <w:r>
        <w:rPr>
          <w:rFonts w:ascii="Courier New" w:cs="Courier New" w:eastAsia="Courier New" w:hAnsi="Courier New"/>
          <w:sz w:val="17"/>
          <w:szCs w:val="17"/>
        </w:rPr>
        <w:t xml:space="preserve">            response.raise_for_status()</w:t>
      </w:r>
    </w:p>
    <w:p>
      <w:pPr>
        <w:shd w:fill="F5F5F5" w:val="clear"/>
        <w:spacing w:after="0" w:before="0" w:line="260"/>
      </w:pPr>
      <w:r>
        <w:rPr>
          <w:rFonts w:ascii="Courier New" w:cs="Courier New" w:eastAsia="Courier New" w:hAnsi="Courier New"/>
          <w:sz w:val="17"/>
          <w:szCs w:val="17"/>
        </w:rPr>
        <w:t xml:space="preserve">            return response.json()</w:t>
      </w:r>
    </w:p>
    <w:p>
      <w:pPr>
        <w:shd w:fill="F5F5F5" w:val="clear"/>
        <w:spacing w:after="0" w:before="0" w:line="260"/>
      </w:pPr>
      <w:r>
        <w:rPr>
          <w:rFonts w:ascii="Courier New" w:cs="Courier New" w:eastAsia="Courier New" w:hAnsi="Courier New"/>
          <w:sz w:val="17"/>
          <w:szCs w:val="17"/>
        </w:rPr>
        <w:t xml:space="preserve">        except requests.exceptions.Timeout:</w:t>
      </w:r>
    </w:p>
    <w:p>
      <w:pPr>
        <w:shd w:fill="F5F5F5" w:val="clear"/>
        <w:spacing w:after="0" w:before="0" w:line="260"/>
      </w:pPr>
      <w:r>
        <w:rPr>
          <w:rFonts w:ascii="Courier New" w:cs="Courier New" w:eastAsia="Courier New" w:hAnsi="Courier New"/>
          <w:sz w:val="17"/>
          <w:szCs w:val="17"/>
        </w:rPr>
        <w:t xml:space="preserve">            logger.warning(f'Timeout attempt {attempt+1} of {retries}')</w:t>
      </w:r>
    </w:p>
    <w:p>
      <w:pPr>
        <w:shd w:fill="F5F5F5" w:val="clear"/>
        <w:spacing w:after="0" w:before="0" w:line="260"/>
      </w:pPr>
      <w:r>
        <w:rPr>
          <w:rFonts w:ascii="Courier New" w:cs="Courier New" w:eastAsia="Courier New" w:hAnsi="Courier New"/>
          <w:sz w:val="17"/>
          <w:szCs w:val="17"/>
        </w:rPr>
        <w:t xml:space="preserve">        except Exception as e:</w:t>
      </w:r>
    </w:p>
    <w:p>
      <w:pPr>
        <w:shd w:fill="F5F5F5" w:val="clear"/>
        <w:spacing w:after="0" w:before="0" w:line="260"/>
      </w:pPr>
      <w:r>
        <w:rPr>
          <w:rFonts w:ascii="Courier New" w:cs="Courier New" w:eastAsia="Courier New" w:hAnsi="Courier New"/>
          <w:sz w:val="17"/>
          <w:szCs w:val="17"/>
        </w:rPr>
        <w:t xml:space="preserve">            logger.error(f'Error: {e}')</w:t>
      </w:r>
    </w:p>
    <w:p>
      <w:pPr>
        <w:shd w:fill="F5F5F5" w:val="clear"/>
        <w:spacing w:after="0" w:before="0" w:line="260"/>
      </w:pPr>
      <w:r>
        <w:rPr>
          <w:rFonts w:ascii="Courier New" w:cs="Courier New" w:eastAsia="Courier New" w:hAnsi="Courier New"/>
          <w:sz w:val="17"/>
          <w:szCs w:val="17"/>
        </w:rPr>
        <w:t xml:space="preserve">            break</w:t>
      </w:r>
    </w:p>
    <w:p>
      <w:pPr>
        <w:shd w:fill="F5F5F5" w:val="clear"/>
        <w:spacing w:after="0" w:before="0" w:line="260"/>
      </w:pPr>
      <w:r>
        <w:rPr>
          <w:rFonts w:ascii="Courier New" w:cs="Courier New" w:eastAsia="Courier New" w:hAnsi="Courier New"/>
          <w:sz w:val="17"/>
          <w:szCs w:val="17"/>
        </w:rPr>
        <w:t xml:space="preserve">    return None  # Falls back to last known bronze data</w:t>
      </w:r>
    </w:p>
    <w:p>
      <w:pPr>
        <w:spacing w:after="0" w:before="120"/>
      </w:pPr>
      <w:r>
        <w:t xml:space="preserve"/>
      </w:r>
    </w:p>
    <w:p>
      <w:pPr>
        <w:pStyle w:val="Heading2"/>
        <w:spacing w:after="80" w:before="240"/>
      </w:pPr>
      <w:r>
        <w:rPr>
          <w:rFonts w:ascii="Arial" w:cs="Arial" w:eastAsia="Arial" w:hAnsi="Arial"/>
          <w:b/>
          <w:bCs/>
          <w:sz w:val="24"/>
          <w:szCs w:val="24"/>
        </w:rPr>
        <w:t xml:space="preserve">4.2 Bronze standardization notebook</w:t>
      </w:r>
    </w:p>
    <w:p>
      <w:pPr>
        <w:spacing w:after="100" w:before="60" w:line="320"/>
        <w:jc w:val="both"/>
      </w:pPr>
      <w:r>
        <w:rPr>
          <w:rFonts w:ascii="Arial" w:cs="Arial" w:eastAsia="Arial" w:hAnsi="Arial"/>
          <w:sz w:val="20"/>
          <w:szCs w:val="20"/>
        </w:rPr>
        <w:t xml:space="preserve">Applies quality checks and standardisation to raw Bronze tables before Silver processing. Key operations: NULL filtering on critical fields (vehicle_make, vehicle_model, model_year), vehicle make name standardisation, date field parsing from string to date type, removal of duplicate complaint records by complaint_id.</w:t>
      </w:r>
    </w:p>
    <w:p>
      <w:pPr>
        <w:spacing w:after="0" w:before="120"/>
      </w:pPr>
      <w:r>
        <w:t xml:space="preserve"/>
      </w:r>
    </w:p>
    <w:p>
      <w:pPr>
        <w:pStyle w:val="Heading2"/>
        <w:spacing w:after="80" w:before="240"/>
      </w:pPr>
      <w:r>
        <w:rPr>
          <w:rFonts w:ascii="Arial" w:cs="Arial" w:eastAsia="Arial" w:hAnsi="Arial"/>
          <w:b/>
          <w:bCs/>
          <w:sz w:val="24"/>
          <w:szCs w:val="24"/>
        </w:rPr>
        <w:t xml:space="preserve">4.3 Bronze_fuel_economy notebook</w:t>
      </w:r>
    </w:p>
    <w:p>
      <w:pPr>
        <w:spacing w:after="100" w:before="60" w:line="320"/>
        <w:jc w:val="both"/>
      </w:pPr>
      <w:r>
        <w:rPr>
          <w:rFonts w:ascii="Arial" w:cs="Arial" w:eastAsia="Arial" w:hAnsi="Arial"/>
          <w:sz w:val="20"/>
          <w:szCs w:val="20"/>
        </w:rPr>
        <w:t xml:space="preserve">Fetches fuel economy data from the EPA API using an incremental pattern. On each run it compares existing bronze_fuel_economy against gold_fact_vehicle_reliability and only fetches new vehicles. Set force_full_refresh = True to re-fetch all vehicles.</w:t>
      </w:r>
    </w:p>
    <w:p>
      <w:pPr>
        <w:spacing w:after="0" w:before="80"/>
      </w:pPr>
      <w:r>
        <w:t xml:space="preserve"/>
      </w:r>
    </w:p>
    <w:p>
      <w:pPr>
        <w:pStyle w:val="Heading3"/>
        <w:spacing w:after="60" w:before="180"/>
      </w:pPr>
      <w:r>
        <w:rPr>
          <w:rFonts w:ascii="Arial" w:cs="Arial" w:eastAsia="Arial" w:hAnsi="Arial"/>
          <w:b/>
          <w:bCs/>
          <w:sz w:val="22"/>
          <w:szCs w:val="22"/>
        </w:rPr>
        <w:t xml:space="preserve">Incremental fetch logic:</w:t>
      </w:r>
    </w:p>
    <w:p>
      <w:pPr>
        <w:shd w:fill="F5F5F5" w:val="clear"/>
        <w:spacing w:after="0" w:before="0" w:line="260"/>
      </w:pPr>
      <w:r>
        <w:rPr>
          <w:rFonts w:ascii="Courier New" w:cs="Courier New" w:eastAsia="Courier New" w:hAnsi="Courier New"/>
          <w:sz w:val="17"/>
          <w:szCs w:val="17"/>
        </w:rPr>
        <w:t xml:space="preserve">force_full_refresh = False  # Set True to re-fetch all vehicles</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existing = spark.read.format('delta').load('Tables/bronze_fuel_economy')</w:t>
      </w:r>
    </w:p>
    <w:p>
      <w:pPr>
        <w:shd w:fill="F5F5F5" w:val="clear"/>
        <w:spacing w:after="0" w:before="0" w:line="260"/>
      </w:pPr>
      <w:r>
        <w:rPr>
          <w:rFonts w:ascii="Courier New" w:cs="Courier New" w:eastAsia="Courier New" w:hAnsi="Courier New"/>
          <w:sz w:val="17"/>
          <w:szCs w:val="17"/>
        </w:rPr>
        <w:t xml:space="preserve">new_vehicles = fact_df.join(</w:t>
      </w:r>
    </w:p>
    <w:p>
      <w:pPr>
        <w:shd w:fill="F5F5F5" w:val="clear"/>
        <w:spacing w:after="0" w:before="0" w:line="260"/>
      </w:pPr>
      <w:r>
        <w:rPr>
          <w:rFonts w:ascii="Courier New" w:cs="Courier New" w:eastAsia="Courier New" w:hAnsi="Courier New"/>
          <w:sz w:val="17"/>
          <w:szCs w:val="17"/>
        </w:rPr>
        <w:t xml:space="preserve">    existing.select('vehicle_make', 'vehicle_model', 'model_year'),</w:t>
      </w:r>
    </w:p>
    <w:p>
      <w:pPr>
        <w:shd w:fill="F5F5F5" w:val="clear"/>
        <w:spacing w:after="0" w:before="0" w:line="260"/>
      </w:pPr>
      <w:r>
        <w:rPr>
          <w:rFonts w:ascii="Courier New" w:cs="Courier New" w:eastAsia="Courier New" w:hAnsi="Courier New"/>
          <w:sz w:val="17"/>
          <w:szCs w:val="17"/>
        </w:rPr>
        <w:t xml:space="preserve">    ['vehicle_make', 'vehicle_model', 'model_year'],</w:t>
      </w:r>
    </w:p>
    <w:p>
      <w:pPr>
        <w:shd w:fill="F5F5F5" w:val="clear"/>
        <w:spacing w:after="0" w:before="0" w:line="260"/>
      </w:pPr>
      <w:r>
        <w:rPr>
          <w:rFonts w:ascii="Courier New" w:cs="Courier New" w:eastAsia="Courier New" w:hAnsi="Courier New"/>
          <w:sz w:val="17"/>
          <w:szCs w:val="17"/>
        </w:rPr>
        <w:t xml:space="preserve">    'left_anti'  # Only rows NOT in existing table</w:t>
      </w:r>
    </w:p>
    <w:p>
      <w:pPr>
        <w:shd w:fill="F5F5F5" w:val="clear"/>
        <w:spacing w:after="0" w:before="0" w:line="260"/>
      </w:pPr>
      <w:r>
        <w:rPr>
          <w:rFonts w:ascii="Courier New" w:cs="Courier New" w:eastAsia="Courier New" w:hAnsi="Courier New"/>
          <w:sz w:val="17"/>
          <w:szCs w:val="17"/>
        </w:rPr>
        <w:t xml:space="preserve">)</w:t>
      </w:r>
    </w:p>
    <w:p>
      <w:pPr>
        <w:shd w:fill="F5F5F5" w:val="clear"/>
        <w:spacing w:after="0" w:before="0" w:line="260"/>
      </w:pPr>
      <w:r>
        <w:rPr>
          <w:rFonts w:ascii="Courier New" w:cs="Courier New" w:eastAsia="Courier New" w:hAnsi="Courier New"/>
          <w:sz w:val="17"/>
          <w:szCs w:val="17"/>
        </w:rPr>
        <w:t xml:space="preserve"># Only fetch new_vehicles — append to bronze table</w:t>
      </w:r>
    </w:p>
    <w:p>
      <w:r>
        <w:br w:type="page"/>
      </w:r>
    </w:p>
    <w:p>
      <w:pPr>
        <w:pStyle w:val="Heading1"/>
        <w:spacing w:after="120" w:before="360"/>
      </w:pPr>
      <w:r>
        <w:rPr>
          <w:rFonts w:ascii="Arial" w:cs="Arial" w:eastAsia="Arial" w:hAnsi="Arial"/>
          <w:b/>
          <w:bCs/>
          <w:sz w:val="28"/>
          <w:szCs w:val="28"/>
        </w:rPr>
        <w:t xml:space="preserve">5. Silver Layer — Transformation</w:t>
      </w:r>
    </w:p>
    <w:p>
      <w:pPr>
        <w:spacing w:after="100" w:before="60" w:line="320"/>
        <w:jc w:val="both"/>
      </w:pPr>
      <w:r>
        <w:rPr>
          <w:rFonts w:ascii="Arial" w:cs="Arial" w:eastAsia="Arial" w:hAnsi="Arial"/>
          <w:sz w:val="20"/>
          <w:szCs w:val="20"/>
        </w:rPr>
        <w:t xml:space="preserve">The Silver layer cleans and enriches Bronze data into a consistent, schema-enforced format. Three transformation notebooks handle the core vehicle data, and a fourth handles fuel economy data.</w:t>
      </w:r>
    </w:p>
    <w:p>
      <w:pPr>
        <w:spacing w:after="0" w:before="80"/>
      </w:pPr>
      <w:r>
        <w:t xml:space="preserve"/>
      </w:r>
    </w:p>
    <w:p>
      <w:pPr>
        <w:pStyle w:val="Heading2"/>
        <w:spacing w:after="80" w:before="240"/>
      </w:pPr>
      <w:r>
        <w:rPr>
          <w:rFonts w:ascii="Arial" w:cs="Arial" w:eastAsia="Arial" w:hAnsi="Arial"/>
          <w:b/>
          <w:bCs/>
          <w:sz w:val="24"/>
          <w:szCs w:val="24"/>
        </w:rPr>
        <w:t xml:space="preserve">5.1 Key transformations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Table</w:t>
            </w:r>
          </w:p>
        </w:tc>
        <w:tc>
          <w:tcPr>
            <w:tcW w:type="dxa" w:w="36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Key transformation</w:t>
            </w:r>
          </w:p>
        </w:tc>
        <w:tc>
          <w:tcPr>
            <w:tcW w:type="dxa" w:w="29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Why</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silver_complaints</w:t>
            </w:r>
          </w:p>
        </w:tc>
        <w:tc>
          <w:tcPr>
            <w:tcW w:type="dxa" w:w="3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Explode comma-separated component field into individual rows</w:t>
            </w:r>
          </w:p>
        </w:tc>
        <w:tc>
          <w:tcPr>
            <w:tcW w:type="dxa" w:w="2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NHTSA stores multi-system complaints as 'ENGINE,POWER TRAIN' — needs splitting for heatmap analysis</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silver_complaints</w:t>
            </w:r>
          </w:p>
        </w:tc>
        <w:tc>
          <w:tcPr>
            <w:tcW w:type="dxa" w:w="3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Map 1,590 raw component strings to 11 clean categories</w:t>
            </w:r>
          </w:p>
        </w:tc>
        <w:tc>
          <w:tcPr>
            <w:tcW w:type="dxa" w:w="2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Raw NHTSA categories are inconsistent — 11 categories is the right analytical grain</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silver_recalls</w:t>
            </w:r>
          </w:p>
        </w:tc>
        <w:tc>
          <w:tcPr>
            <w:tcW w:type="dxa" w:w="3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Parse recall_date string to date type</w:t>
            </w:r>
          </w:p>
        </w:tc>
        <w:tc>
          <w:tcPr>
            <w:tcW w:type="dxa" w:w="2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Enables time-series analysis of recall trends</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silver_fuel_economy</w:t>
            </w:r>
          </w:p>
        </w:tc>
        <w:tc>
          <w:tcPr>
            <w:tcW w:type="dxa" w:w="3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Classify fuel_type into fuel_category</w:t>
            </w:r>
          </w:p>
        </w:tc>
        <w:tc>
          <w:tcPr>
            <w:tcW w:type="dxa" w:w="2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Groups variants into clean categories for Power BI slicing</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silver_fuel_economy</w:t>
            </w:r>
          </w:p>
        </w:tc>
        <w:tc>
          <w:tcPr>
            <w:tcW w:type="dxa" w:w="3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Assign efficiency_tier based on combined MPG</w:t>
            </w:r>
          </w:p>
        </w:tc>
        <w:tc>
          <w:tcPr>
            <w:tcW w:type="dxa" w:w="2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Provides human-readable label for display</w:t>
            </w:r>
          </w:p>
        </w:tc>
      </w:tr>
    </w:tbl>
    <w:p>
      <w:pPr>
        <w:spacing w:after="0" w:before="120"/>
      </w:pPr>
      <w:r>
        <w:t xml:space="preserve"/>
      </w:r>
    </w:p>
    <w:p>
      <w:pPr>
        <w:pStyle w:val="Heading2"/>
        <w:spacing w:after="80" w:before="240"/>
      </w:pPr>
      <w:r>
        <w:rPr>
          <w:rFonts w:ascii="Arial" w:cs="Arial" w:eastAsia="Arial" w:hAnsi="Arial"/>
          <w:b/>
          <w:bCs/>
          <w:sz w:val="24"/>
          <w:szCs w:val="24"/>
        </w:rPr>
        <w:t xml:space="preserve">5.2 Component failure mapping</w:t>
      </w:r>
    </w:p>
    <w:p>
      <w:pPr>
        <w:spacing w:after="100" w:before="60" w:line="320"/>
        <w:jc w:val="both"/>
      </w:pPr>
      <w:r>
        <w:rPr>
          <w:rFonts w:ascii="Arial" w:cs="Arial" w:eastAsia="Arial" w:hAnsi="Arial"/>
          <w:sz w:val="20"/>
          <w:szCs w:val="20"/>
        </w:rPr>
        <w:t xml:space="preserve">The most significant Silver transformation is the NHTSA component normalisation. Raw NHTSA data contains 1,590 distinct component strings due to comma-separated multi-system complaints. The transformation explodes these into individual rows then maps each raw string to one of 11 clean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Clean category</w:t>
            </w:r>
          </w:p>
        </w:tc>
        <w:tc>
          <w:tcPr>
            <w:tcW w:type="dxa" w:w="69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Raw NHTSA strings mapped</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Engine</w:t>
            </w:r>
          </w:p>
        </w:tc>
        <w:tc>
          <w:tcPr>
            <w:tcW w:type="dxa" w:w="6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ENGINE, ENGINE AND ENGINE COOLING</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Powertrain</w:t>
            </w:r>
          </w:p>
        </w:tc>
        <w:tc>
          <w:tcPr>
            <w:tcW w:type="dxa" w:w="6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POWER TRAIN</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Electrical</w:t>
            </w:r>
          </w:p>
        </w:tc>
        <w:tc>
          <w:tcPr>
            <w:tcW w:type="dxa" w:w="6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ELECTRICAL SYSTEM</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Brakes</w:t>
            </w:r>
          </w:p>
        </w:tc>
        <w:tc>
          <w:tcPr>
            <w:tcW w:type="dxa" w:w="6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SERVICE BRAKES</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Steering</w:t>
            </w:r>
          </w:p>
        </w:tc>
        <w:tc>
          <w:tcPr>
            <w:tcW w:type="dxa" w:w="6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STEERING</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Safety Systems</w:t>
            </w:r>
          </w:p>
        </w:tc>
        <w:tc>
          <w:tcPr>
            <w:tcW w:type="dxa" w:w="6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FORWARD COLLISION AVOIDANCE, VEHICLE SPEED CONTROL</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Fuel System</w:t>
            </w:r>
          </w:p>
        </w:tc>
        <w:tc>
          <w:tcPr>
            <w:tcW w:type="dxa" w:w="6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FUEL/PROPULSION SYSTEM, FUEL SYSTEM GASOLINE</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Air Bags</w:t>
            </w:r>
          </w:p>
        </w:tc>
        <w:tc>
          <w:tcPr>
            <w:tcW w:type="dxa" w:w="6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AIR BAGS</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Visibility</w:t>
            </w:r>
          </w:p>
        </w:tc>
        <w:tc>
          <w:tcPr>
            <w:tcW w:type="dxa" w:w="6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VISIBILITY/WIPER, VISIBILITY</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Lighting</w:t>
            </w:r>
          </w:p>
        </w:tc>
        <w:tc>
          <w:tcPr>
            <w:tcW w:type="dxa" w:w="6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EXTERIOR LIGHTING</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Structure</w:t>
            </w:r>
          </w:p>
        </w:tc>
        <w:tc>
          <w:tcPr>
            <w:tcW w:type="dxa" w:w="6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STRUCTURE</w:t>
            </w:r>
          </w:p>
        </w:tc>
      </w:tr>
    </w:tbl>
    <w:p>
      <w:pPr>
        <w:spacing w:after="0" w:before="120"/>
      </w:pPr>
      <w:r>
        <w:t xml:space="preserve"/>
      </w:r>
    </w:p>
    <w:p>
      <w:pPr>
        <w:pStyle w:val="Heading2"/>
        <w:spacing w:after="80" w:before="240"/>
      </w:pPr>
      <w:r>
        <w:rPr>
          <w:rFonts w:ascii="Arial" w:cs="Arial" w:eastAsia="Arial" w:hAnsi="Arial"/>
          <w:b/>
          <w:bCs/>
          <w:sz w:val="24"/>
          <w:szCs w:val="24"/>
        </w:rPr>
        <w:t xml:space="preserve">5.3 Efficiency tier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Tier</w:t>
            </w:r>
          </w:p>
        </w:tc>
        <w:tc>
          <w:tcPr>
            <w:tcW w:type="dxa" w:w="20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Combined MPG</w:t>
            </w:r>
          </w:p>
        </w:tc>
        <w:tc>
          <w:tcPr>
            <w:tcW w:type="dxa" w:w="49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Example vehicles</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Excellent</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&gt;= 40 MPG</w:t>
            </w:r>
          </w:p>
        </w:tc>
        <w:tc>
          <w:tcPr>
            <w:tcW w:type="dxa" w:w="4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Toyota Prius, Hyundai Ioniq 6, Tesla Model 3</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Good</w:t>
            </w:r>
          </w:p>
        </w:tc>
        <w:tc>
          <w:tcPr>
            <w:tcW w:type="dxa" w:w="20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30–39 MPG</w:t>
            </w:r>
          </w:p>
        </w:tc>
        <w:tc>
          <w:tcPr>
            <w:tcW w:type="dxa" w:w="4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Honda Civic, Toyota Corolla, Mazda CX-30</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Average</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22–29 MPG</w:t>
            </w:r>
          </w:p>
        </w:tc>
        <w:tc>
          <w:tcPr>
            <w:tcW w:type="dxa" w:w="4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Toyota Camry, Honda CR-V, Subaru Outback</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Below Average</w:t>
            </w:r>
          </w:p>
        </w:tc>
        <w:tc>
          <w:tcPr>
            <w:tcW w:type="dxa" w:w="20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15–21 MPG</w:t>
            </w:r>
          </w:p>
        </w:tc>
        <w:tc>
          <w:tcPr>
            <w:tcW w:type="dxa" w:w="4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BMW X5 M, Jeep Wrangler, Ford F-150</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Poor</w:t>
            </w:r>
          </w:p>
        </w:tc>
        <w:tc>
          <w:tcPr>
            <w:tcW w:type="dxa" w:w="2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&lt; 15 MPG</w:t>
            </w:r>
          </w:p>
        </w:tc>
        <w:tc>
          <w:tcPr>
            <w:tcW w:type="dxa" w:w="4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BMW M5, Dodge Challenger, performance models</w:t>
            </w:r>
          </w:p>
        </w:tc>
      </w:tr>
    </w:tbl>
    <w:p>
      <w:r>
        <w:br w:type="page"/>
      </w:r>
    </w:p>
    <w:p>
      <w:pPr>
        <w:pStyle w:val="Heading1"/>
        <w:spacing w:after="120" w:before="360"/>
      </w:pPr>
      <w:r>
        <w:rPr>
          <w:rFonts w:ascii="Arial" w:cs="Arial" w:eastAsia="Arial" w:hAnsi="Arial"/>
          <w:b/>
          <w:bCs/>
          <w:sz w:val="28"/>
          <w:szCs w:val="28"/>
        </w:rPr>
        <w:t xml:space="preserve">6. Gold Layer — Aggregation &amp; Scoring</w:t>
      </w:r>
    </w:p>
    <w:p>
      <w:pPr>
        <w:pStyle w:val="Heading2"/>
        <w:spacing w:after="80" w:before="240"/>
      </w:pPr>
      <w:r>
        <w:rPr>
          <w:rFonts w:ascii="Arial" w:cs="Arial" w:eastAsia="Arial" w:hAnsi="Arial"/>
          <w:b/>
          <w:bCs/>
          <w:sz w:val="24"/>
          <w:szCs w:val="24"/>
        </w:rPr>
        <w:t xml:space="preserve">6.1 Reliability score formula</w:t>
      </w:r>
    </w:p>
    <w:p>
      <w:pPr>
        <w:spacing w:after="100" w:before="60" w:line="320"/>
        <w:jc w:val="both"/>
      </w:pPr>
      <w:r>
        <w:rPr>
          <w:rFonts w:ascii="Arial" w:cs="Arial" w:eastAsia="Arial" w:hAnsi="Arial"/>
          <w:sz w:val="20"/>
          <w:szCs w:val="20"/>
        </w:rPr>
        <w:t xml:space="preserve">The reliability score is a composite 0–100 metric computed per make/model/year. It weights complaint volume (50%), recall frequency (30%), and repair cost (20%). Each component is normalised using min-max scaling before weighting.</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 Step 1 — Normalise each component (min-max scaling)</w:t>
      </w:r>
    </w:p>
    <w:p>
      <w:pPr>
        <w:shd w:fill="F5F5F5" w:val="clear"/>
        <w:spacing w:after="0" w:before="0" w:line="260"/>
      </w:pPr>
      <w:r>
        <w:rPr>
          <w:rFonts w:ascii="Courier New" w:cs="Courier New" w:eastAsia="Courier New" w:hAnsi="Courier New"/>
          <w:sz w:val="17"/>
          <w:szCs w:val="17"/>
        </w:rPr>
        <w:t xml:space="preserve">complaints_norm = (total_complaints - min_complaints) / (max_complaints - min_complaints)</w:t>
      </w:r>
    </w:p>
    <w:p>
      <w:pPr>
        <w:shd w:fill="F5F5F5" w:val="clear"/>
        <w:spacing w:after="0" w:before="0" w:line="260"/>
      </w:pPr>
      <w:r>
        <w:rPr>
          <w:rFonts w:ascii="Courier New" w:cs="Courier New" w:eastAsia="Courier New" w:hAnsi="Courier New"/>
          <w:sz w:val="17"/>
          <w:szCs w:val="17"/>
        </w:rPr>
        <w:t xml:space="preserve">recalls_norm    = (total_recalls    - min_recalls)    / (max_recalls    - min_recalls)</w:t>
      </w:r>
    </w:p>
    <w:p>
      <w:pPr>
        <w:shd w:fill="F5F5F5" w:val="clear"/>
        <w:spacing w:after="0" w:before="0" w:line="260"/>
      </w:pPr>
      <w:r>
        <w:rPr>
          <w:rFonts w:ascii="Courier New" w:cs="Courier New" w:eastAsia="Courier New" w:hAnsi="Courier New"/>
          <w:sz w:val="17"/>
          <w:szCs w:val="17"/>
        </w:rPr>
        <w:t xml:space="preserve">cost_norm       = (avg_repair_cost  - min_cost)       / (max_cost       - min_cost)</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Step 2 — Compute reliability score (higher = more reliable)</w:t>
      </w:r>
    </w:p>
    <w:p>
      <w:pPr>
        <w:shd w:fill="F5F5F5" w:val="clear"/>
        <w:spacing w:after="0" w:before="0" w:line="260"/>
      </w:pPr>
      <w:r>
        <w:rPr>
          <w:rFonts w:ascii="Courier New" w:cs="Courier New" w:eastAsia="Courier New" w:hAnsi="Courier New"/>
          <w:sz w:val="17"/>
          <w:szCs w:val="17"/>
        </w:rPr>
        <w:t xml:space="preserve">reliability_score = (</w:t>
      </w:r>
    </w:p>
    <w:p>
      <w:pPr>
        <w:shd w:fill="F5F5F5" w:val="clear"/>
        <w:spacing w:after="0" w:before="0" w:line="260"/>
      </w:pPr>
      <w:r>
        <w:rPr>
          <w:rFonts w:ascii="Courier New" w:cs="Courier New" w:eastAsia="Courier New" w:hAnsi="Courier New"/>
          <w:sz w:val="17"/>
          <w:szCs w:val="17"/>
        </w:rPr>
        <w:t xml:space="preserve">    (1 - complaints_norm) * 0.50 +</w:t>
      </w:r>
    </w:p>
    <w:p>
      <w:pPr>
        <w:shd w:fill="F5F5F5" w:val="clear"/>
        <w:spacing w:after="0" w:before="0" w:line="260"/>
      </w:pPr>
      <w:r>
        <w:rPr>
          <w:rFonts w:ascii="Courier New" w:cs="Courier New" w:eastAsia="Courier New" w:hAnsi="Courier New"/>
          <w:sz w:val="17"/>
          <w:szCs w:val="17"/>
        </w:rPr>
        <w:t xml:space="preserve">    (1 - recalls_norm)    * 0.30 +</w:t>
      </w:r>
    </w:p>
    <w:p>
      <w:pPr>
        <w:shd w:fill="F5F5F5" w:val="clear"/>
        <w:spacing w:after="0" w:before="0" w:line="260"/>
      </w:pPr>
      <w:r>
        <w:rPr>
          <w:rFonts w:ascii="Courier New" w:cs="Courier New" w:eastAsia="Courier New" w:hAnsi="Courier New"/>
          <w:sz w:val="17"/>
          <w:szCs w:val="17"/>
        </w:rPr>
        <w:t xml:space="preserve">    (1 - cost_norm)       * 0.20</w:t>
      </w:r>
    </w:p>
    <w:p>
      <w:pPr>
        <w:shd w:fill="F5F5F5" w:val="clear"/>
        <w:spacing w:after="0" w:before="0" w:line="260"/>
      </w:pPr>
      <w:r>
        <w:rPr>
          <w:rFonts w:ascii="Courier New" w:cs="Courier New" w:eastAsia="Courier New" w:hAnsi="Courier New"/>
          <w:sz w:val="17"/>
          <w:szCs w:val="17"/>
        </w:rPr>
        <w:t xml:space="preserve">) * 100</w:t>
      </w:r>
    </w:p>
    <w:p>
      <w:pPr>
        <w:spacing w:after="0" w:before="120"/>
      </w:pPr>
      <w:r>
        <w:t xml:space="preserve"/>
      </w:r>
    </w:p>
    <w:p>
      <w:pPr>
        <w:pStyle w:val="Heading2"/>
        <w:spacing w:after="80" w:before="240"/>
      </w:pPr>
      <w:r>
        <w:rPr>
          <w:rFonts w:ascii="Arial" w:cs="Arial" w:eastAsia="Arial" w:hAnsi="Arial"/>
          <w:b/>
          <w:bCs/>
          <w:sz w:val="24"/>
          <w:szCs w:val="24"/>
        </w:rPr>
        <w:t xml:space="preserve">6.2 Why these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Component</w:t>
            </w:r>
          </w:p>
        </w:tc>
        <w:tc>
          <w:tcPr>
            <w:tcW w:type="dxa" w:w="10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Weight</w:t>
            </w:r>
          </w:p>
        </w:tc>
        <w:tc>
          <w:tcPr>
            <w:tcW w:type="dxa" w:w="57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Rationale</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Complaint volume</w:t>
            </w:r>
          </w:p>
        </w:tc>
        <w:tc>
          <w:tcPr>
            <w:tcW w:type="dxa" w:w="1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50%</w:t>
            </w:r>
          </w:p>
        </w:tc>
        <w:tc>
          <w:tcPr>
            <w:tcW w:type="dxa" w:w="5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Complaints are the most direct signal of real-world owner experience. High complaint volume across many owners is the strongest indicator of systemic issues.</w:t>
            </w:r>
          </w:p>
        </w:tc>
      </w:tr>
      <w:tr>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Recall count</w:t>
            </w:r>
          </w:p>
        </w:tc>
        <w:tc>
          <w:tcPr>
            <w:tcW w:type="dxa" w:w="10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30%</w:t>
            </w:r>
          </w:p>
        </w:tc>
        <w:tc>
          <w:tcPr>
            <w:tcW w:type="dxa" w:w="5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Recalls represent manufacturer-acknowledged safety or quality defects. Lower weight than complaints because recalls are sometimes precautionary.</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Repair cost</w:t>
            </w:r>
          </w:p>
        </w:tc>
        <w:tc>
          <w:tcPr>
            <w:tcW w:type="dxa" w:w="1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20%</w:t>
            </w:r>
          </w:p>
        </w:tc>
        <w:tc>
          <w:tcPr>
            <w:tcW w:type="dxa" w:w="5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Repair cost affects running cost but not inherent reliability. A vehicle can be expensive to fix but still rarely break down.</w:t>
            </w:r>
          </w:p>
        </w:tc>
      </w:tr>
    </w:tbl>
    <w:p>
      <w:pPr>
        <w:spacing w:after="0" w:before="120"/>
      </w:pPr>
      <w:r>
        <w:t xml:space="preserve"/>
      </w:r>
    </w:p>
    <w:p>
      <w:pPr>
        <w:pStyle w:val="Heading2"/>
        <w:spacing w:after="80" w:before="240"/>
      </w:pPr>
      <w:r>
        <w:rPr>
          <w:rFonts w:ascii="Arial" w:cs="Arial" w:eastAsia="Arial" w:hAnsi="Arial"/>
          <w:b/>
          <w:bCs/>
          <w:sz w:val="24"/>
          <w:szCs w:val="24"/>
        </w:rPr>
        <w:t xml:space="preserve">6.3 Recommendation score formula</w:t>
      </w:r>
    </w:p>
    <w:p>
      <w:pPr>
        <w:spacing w:after="100" w:before="60" w:line="320"/>
        <w:jc w:val="both"/>
      </w:pPr>
      <w:r>
        <w:rPr>
          <w:rFonts w:ascii="Arial" w:cs="Arial" w:eastAsia="Arial" w:hAnsi="Arial"/>
          <w:sz w:val="20"/>
          <w:szCs w:val="20"/>
        </w:rPr>
        <w:t xml:space="preserve">The recommendation score extends reliability by incorporating total running cost (repair + fuel). It weights reliability at 60% and splits the remaining 40% between repair cost and total annual cost.</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 Total annual cost = repair cost + annual fuel cost</w:t>
      </w:r>
    </w:p>
    <w:p>
      <w:pPr>
        <w:shd w:fill="F5F5F5" w:val="clear"/>
        <w:spacing w:after="0" w:before="0" w:line="260"/>
      </w:pPr>
      <w:r>
        <w:rPr>
          <w:rFonts w:ascii="Courier New" w:cs="Courier New" w:eastAsia="Courier New" w:hAnsi="Courier New"/>
          <w:sz w:val="17"/>
          <w:szCs w:val="17"/>
        </w:rPr>
        <w:t xml:space="preserve">total_annual_cost = annual_cost + COALESCE(annual_fuel_cost, 0)</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Normalise costs</w:t>
      </w:r>
    </w:p>
    <w:p>
      <w:pPr>
        <w:shd w:fill="F5F5F5" w:val="clear"/>
        <w:spacing w:after="0" w:before="0" w:line="260"/>
      </w:pPr>
      <w:r>
        <w:rPr>
          <w:rFonts w:ascii="Courier New" w:cs="Courier New" w:eastAsia="Courier New" w:hAnsi="Courier New"/>
          <w:sz w:val="17"/>
          <w:szCs w:val="17"/>
        </w:rPr>
        <w:t xml:space="preserve">norm_repair_cost = (annual_cost       - min_repair) / (max_repair - min_repair)</w:t>
      </w:r>
    </w:p>
    <w:p>
      <w:pPr>
        <w:shd w:fill="F5F5F5" w:val="clear"/>
        <w:spacing w:after="0" w:before="0" w:line="260"/>
      </w:pPr>
      <w:r>
        <w:rPr>
          <w:rFonts w:ascii="Courier New" w:cs="Courier New" w:eastAsia="Courier New" w:hAnsi="Courier New"/>
          <w:sz w:val="17"/>
          <w:szCs w:val="17"/>
        </w:rPr>
        <w:t xml:space="preserve">norm_total_cost  = (total_annual_cost - min_total)  / (max_total  - min_total)</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Recommendation score (3-factor weighted formula)</w:t>
      </w:r>
    </w:p>
    <w:p>
      <w:pPr>
        <w:shd w:fill="F5F5F5" w:val="clear"/>
        <w:spacing w:after="0" w:before="0" w:line="260"/>
      </w:pPr>
      <w:r>
        <w:rPr>
          <w:rFonts w:ascii="Courier New" w:cs="Courier New" w:eastAsia="Courier New" w:hAnsi="Courier New"/>
          <w:sz w:val="17"/>
          <w:szCs w:val="17"/>
        </w:rPr>
        <w:t xml:space="preserve">recommendation_score = (</w:t>
      </w:r>
    </w:p>
    <w:p>
      <w:pPr>
        <w:shd w:fill="F5F5F5" w:val="clear"/>
        <w:spacing w:after="0" w:before="0" w:line="260"/>
      </w:pPr>
      <w:r>
        <w:rPr>
          <w:rFonts w:ascii="Courier New" w:cs="Courier New" w:eastAsia="Courier New" w:hAnsi="Courier New"/>
          <w:sz w:val="17"/>
          <w:szCs w:val="17"/>
        </w:rPr>
        <w:t xml:space="preserve">    reliability_score          * 0.60 +</w:t>
      </w:r>
    </w:p>
    <w:p>
      <w:pPr>
        <w:shd w:fill="F5F5F5" w:val="clear"/>
        <w:spacing w:after="0" w:before="0" w:line="260"/>
      </w:pPr>
      <w:r>
        <w:rPr>
          <w:rFonts w:ascii="Courier New" w:cs="Courier New" w:eastAsia="Courier New" w:hAnsi="Courier New"/>
          <w:sz w:val="17"/>
          <w:szCs w:val="17"/>
        </w:rPr>
        <w:t xml:space="preserve">    (1 - norm_repair_cost) * 100 * 0.20 +</w:t>
      </w:r>
    </w:p>
    <w:p>
      <w:pPr>
        <w:shd w:fill="F5F5F5" w:val="clear"/>
        <w:spacing w:after="0" w:before="0" w:line="260"/>
      </w:pPr>
      <w:r>
        <w:rPr>
          <w:rFonts w:ascii="Courier New" w:cs="Courier New" w:eastAsia="Courier New" w:hAnsi="Courier New"/>
          <w:sz w:val="17"/>
          <w:szCs w:val="17"/>
        </w:rPr>
        <w:t xml:space="preserve">    (1 - norm_total_cost)  * 100 * 0.20</w:t>
      </w:r>
    </w:p>
    <w:p>
      <w:pPr>
        <w:shd w:fill="F5F5F5" w:val="clear"/>
        <w:spacing w:after="0" w:before="0" w:line="260"/>
      </w:pPr>
      <w:r>
        <w:rPr>
          <w:rFonts w:ascii="Courier New" w:cs="Courier New" w:eastAsia="Courier New" w:hAnsi="Courier New"/>
          <w:sz w:val="17"/>
          <w:szCs w:val="17"/>
        </w:rPr>
        <w:t xml:space="preserve">)</w:t>
      </w:r>
    </w:p>
    <w:p>
      <w:pPr>
        <w:spacing w:after="0" w:before="120"/>
      </w:pPr>
      <w:r>
        <w:t xml:space="preserve"/>
      </w:r>
    </w:p>
    <w:p>
      <w:pPr>
        <w:pStyle w:val="Heading2"/>
        <w:spacing w:after="80" w:before="240"/>
      </w:pPr>
      <w:r>
        <w:rPr>
          <w:rFonts w:ascii="Arial" w:cs="Arial" w:eastAsia="Arial" w:hAnsi="Arial"/>
          <w:b/>
          <w:bCs/>
          <w:sz w:val="24"/>
          <w:szCs w:val="24"/>
        </w:rPr>
        <w:t xml:space="preserve">6.4 Score colour assignment</w:t>
      </w:r>
    </w:p>
    <w:p>
      <w:pPr>
        <w:spacing w:after="100" w:before="60" w:line="320"/>
        <w:jc w:val="both"/>
      </w:pPr>
      <w:r>
        <w:rPr>
          <w:rFonts w:ascii="Arial" w:cs="Arial" w:eastAsia="Arial" w:hAnsi="Arial"/>
          <w:sz w:val="20"/>
          <w:szCs w:val="20"/>
        </w:rPr>
        <w:t xml:space="preserve">The score_colour column is computed in PySpark during the Gold build and stored directly in gold_dim_make. This avoids repeated DAX computation in Power BI and ensures consistent colour encoding across all pages.</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 Green  — reliability_score &gt;= 70</w:t>
      </w:r>
    </w:p>
    <w:p>
      <w:pPr>
        <w:shd w:fill="F5F5F5" w:val="clear"/>
        <w:spacing w:after="0" w:before="0" w:line="260"/>
      </w:pPr>
      <w:r>
        <w:rPr>
          <w:rFonts w:ascii="Courier New" w:cs="Courier New" w:eastAsia="Courier New" w:hAnsi="Courier New"/>
          <w:sz w:val="17"/>
          <w:szCs w:val="17"/>
        </w:rPr>
        <w:t xml:space="preserve"># Amber  — reliability_score &gt;= 45</w:t>
      </w:r>
    </w:p>
    <w:p>
      <w:pPr>
        <w:shd w:fill="F5F5F5" w:val="clear"/>
        <w:spacing w:after="0" w:before="0" w:line="260"/>
      </w:pPr>
      <w:r>
        <w:rPr>
          <w:rFonts w:ascii="Courier New" w:cs="Courier New" w:eastAsia="Courier New" w:hAnsi="Courier New"/>
          <w:sz w:val="17"/>
          <w:szCs w:val="17"/>
        </w:rPr>
        <w:t xml:space="preserve"># Red    — reliability_score &lt;  45</w:t>
      </w:r>
    </w:p>
    <w:p>
      <w:r>
        <w:br w:type="page"/>
      </w:r>
    </w:p>
    <w:p>
      <w:pPr>
        <w:pStyle w:val="Heading1"/>
        <w:spacing w:after="120" w:before="360"/>
      </w:pPr>
      <w:r>
        <w:rPr>
          <w:rFonts w:ascii="Arial" w:cs="Arial" w:eastAsia="Arial" w:hAnsi="Arial"/>
          <w:b/>
          <w:bCs/>
          <w:sz w:val="28"/>
          <w:szCs w:val="28"/>
        </w:rPr>
        <w:t xml:space="preserve">7. Fuel Economy Integration</w:t>
      </w:r>
    </w:p>
    <w:p>
      <w:pPr>
        <w:spacing w:after="100" w:before="60" w:line="320"/>
        <w:jc w:val="both"/>
      </w:pPr>
      <w:r>
        <w:rPr>
          <w:rFonts w:ascii="Arial" w:cs="Arial" w:eastAsia="Arial" w:hAnsi="Arial"/>
          <w:sz w:val="20"/>
          <w:szCs w:val="20"/>
        </w:rPr>
        <w:t xml:space="preserve">Fuel economy data from the EPA API was added as a fourth data source to give buyers a complete picture of total running cost. This section documents the integration decisions, edge cases, and how fuel data flows through the pipeline.</w:t>
      </w:r>
    </w:p>
    <w:p>
      <w:pPr>
        <w:spacing w:after="0" w:before="80"/>
      </w:pPr>
      <w:r>
        <w:t xml:space="preserve"/>
      </w:r>
    </w:p>
    <w:p>
      <w:pPr>
        <w:pStyle w:val="Heading2"/>
        <w:spacing w:after="80" w:before="240"/>
      </w:pPr>
      <w:r>
        <w:rPr>
          <w:rFonts w:ascii="Arial" w:cs="Arial" w:eastAsia="Arial" w:hAnsi="Arial"/>
          <w:b/>
          <w:bCs/>
          <w:sz w:val="24"/>
          <w:szCs w:val="24"/>
        </w:rPr>
        <w:t xml:space="preserve">7.1 EPA API model name mapping</w:t>
      </w:r>
    </w:p>
    <w:p>
      <w:pPr>
        <w:spacing w:after="100" w:before="60" w:line="320"/>
        <w:jc w:val="both"/>
      </w:pPr>
      <w:r>
        <w:rPr>
          <w:rFonts w:ascii="Arial" w:cs="Arial" w:eastAsia="Arial" w:hAnsi="Arial"/>
          <w:sz w:val="20"/>
          <w:szCs w:val="20"/>
        </w:rPr>
        <w:t xml:space="preserve">The EPA API uses exact string matching for make and model names. A MODEL_MAP dictionary translates AutoTrust model names to EPA equivalents. A YEAR_SPECIFIC_MAP handles older model year name changes.</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MODEL_MAP = {</w:t>
      </w:r>
    </w:p>
    <w:p>
      <w:pPr>
        <w:shd w:fill="F5F5F5" w:val="clear"/>
        <w:spacing w:after="0" w:before="0" w:line="260"/>
      </w:pPr>
      <w:r>
        <w:rPr>
          <w:rFonts w:ascii="Courier New" w:cs="Courier New" w:eastAsia="Courier New" w:hAnsi="Courier New"/>
          <w:sz w:val="17"/>
          <w:szCs w:val="17"/>
        </w:rPr>
        <w:t xml:space="preserve">    'Toyota|Rav4':       'RAV4',     # Title case to uppercase</w:t>
      </w:r>
    </w:p>
    <w:p>
      <w:pPr>
        <w:shd w:fill="F5F5F5" w:val="clear"/>
        <w:spacing w:after="0" w:before="0" w:line="260"/>
      </w:pPr>
      <w:r>
        <w:rPr>
          <w:rFonts w:ascii="Courier New" w:cs="Courier New" w:eastAsia="Courier New" w:hAnsi="Courier New"/>
          <w:sz w:val="17"/>
          <w:szCs w:val="17"/>
        </w:rPr>
        <w:t xml:space="preserve">    'Honda|Cr-v':        'CR-V',     # Hyphen handling</w:t>
      </w:r>
    </w:p>
    <w:p>
      <w:pPr>
        <w:shd w:fill="F5F5F5" w:val="clear"/>
        <w:spacing w:after="0" w:before="0" w:line="260"/>
      </w:pPr>
      <w:r>
        <w:rPr>
          <w:rFonts w:ascii="Courier New" w:cs="Courier New" w:eastAsia="Courier New" w:hAnsi="Courier New"/>
          <w:sz w:val="17"/>
          <w:szCs w:val="17"/>
        </w:rPr>
        <w:t xml:space="preserve">    'Bmw|3 Series':      '330i',     # Series name to specific trim</w:t>
      </w:r>
    </w:p>
    <w:p>
      <w:pPr>
        <w:shd w:fill="F5F5F5" w:val="clear"/>
        <w:spacing w:after="0" w:before="0" w:line="260"/>
      </w:pPr>
      <w:r>
        <w:rPr>
          <w:rFonts w:ascii="Courier New" w:cs="Courier New" w:eastAsia="Courier New" w:hAnsi="Courier New"/>
          <w:sz w:val="17"/>
          <w:szCs w:val="17"/>
        </w:rPr>
        <w:t xml:space="preserve">    'Mercedes-Benz|Gle': 'GLE 350',  # Class name to trim designation</w:t>
      </w:r>
    </w:p>
    <w:p>
      <w:pPr>
        <w:shd w:fill="F5F5F5" w:val="clear"/>
        <w:spacing w:after="0" w:before="0" w:line="260"/>
      </w:pPr>
      <w:r>
        <w:rPr>
          <w:rFonts w:ascii="Courier New" w:cs="Courier New" w:eastAsia="Courier New" w:hAnsi="Courier New"/>
          <w:sz w:val="17"/>
          <w:szCs w:val="17"/>
        </w:rPr>
        <w:t xml:space="preserve">}</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YEAR_SPECIFIC_MAP = {</w:t>
      </w:r>
    </w:p>
    <w:p>
      <w:pPr>
        <w:shd w:fill="F5F5F5" w:val="clear"/>
        <w:spacing w:after="0" w:before="0" w:line="260"/>
      </w:pPr>
      <w:r>
        <w:rPr>
          <w:rFonts w:ascii="Courier New" w:cs="Courier New" w:eastAsia="Courier New" w:hAnsi="Courier New"/>
          <w:sz w:val="17"/>
          <w:szCs w:val="17"/>
        </w:rPr>
        <w:t xml:space="preserve">    ('Bmw', '3 Series', 2016): '328i',  # Pre-facelift naming</w:t>
      </w:r>
    </w:p>
    <w:p>
      <w:pPr>
        <w:shd w:fill="F5F5F5" w:val="clear"/>
        <w:spacing w:after="0" w:before="0" w:line="260"/>
      </w:pPr>
      <w:r>
        <w:rPr>
          <w:rFonts w:ascii="Courier New" w:cs="Courier New" w:eastAsia="Courier New" w:hAnsi="Courier New"/>
          <w:sz w:val="17"/>
          <w:szCs w:val="17"/>
        </w:rPr>
        <w:t xml:space="preserve">    ('Bmw', '3 Series', 2017): '330i',  # Post-facelift naming</w:t>
      </w:r>
    </w:p>
    <w:p>
      <w:pPr>
        <w:shd w:fill="F5F5F5" w:val="clear"/>
        <w:spacing w:after="0" w:before="0" w:line="260"/>
      </w:pPr>
      <w:r>
        <w:rPr>
          <w:rFonts w:ascii="Courier New" w:cs="Courier New" w:eastAsia="Courier New" w:hAnsi="Courier New"/>
          <w:sz w:val="17"/>
          <w:szCs w:val="17"/>
        </w:rPr>
        <w:t xml:space="preserve">}</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Year-specific map checked first, then general map</w:t>
      </w:r>
    </w:p>
    <w:p>
      <w:pPr>
        <w:shd w:fill="F5F5F5" w:val="clear"/>
        <w:spacing w:after="0" w:before="0" w:line="260"/>
      </w:pPr>
      <w:r>
        <w:rPr>
          <w:rFonts w:ascii="Courier New" w:cs="Courier New" w:eastAsia="Courier New" w:hAnsi="Courier New"/>
          <w:sz w:val="17"/>
          <w:szCs w:val="17"/>
        </w:rPr>
        <w:t xml:space="preserve">epa_model = YEAR_SPECIFIC_MAP.get((make, model, year)) or MODEL_MAP.get(key)</w:t>
      </w:r>
    </w:p>
    <w:p>
      <w:pPr>
        <w:spacing w:after="0" w:before="120"/>
      </w:pPr>
      <w:r>
        <w:t xml:space="preserve"/>
      </w:r>
    </w:p>
    <w:p>
      <w:pPr>
        <w:pStyle w:val="Heading2"/>
        <w:spacing w:after="80" w:before="240"/>
      </w:pPr>
      <w:r>
        <w:rPr>
          <w:rFonts w:ascii="Arial" w:cs="Arial" w:eastAsia="Arial" w:hAnsi="Arial"/>
          <w:b/>
          <w:bCs/>
          <w:sz w:val="24"/>
          <w:szCs w:val="24"/>
        </w:rPr>
        <w:t xml:space="preserve">7.2 Multi-variant averaging</w:t>
      </w:r>
    </w:p>
    <w:p>
      <w:pPr>
        <w:spacing w:after="100" w:before="60" w:line="320"/>
        <w:jc w:val="both"/>
      </w:pPr>
      <w:r>
        <w:rPr>
          <w:rFonts w:ascii="Arial" w:cs="Arial" w:eastAsia="Arial" w:hAnsi="Arial"/>
          <w:sz w:val="20"/>
          <w:szCs w:val="20"/>
        </w:rPr>
        <w:t xml:space="preserve">Many models have multiple EPA variants due to different drivetrains, engine sizes, or powertrain options. For example, the Ford Explorer has six variants: AWD, RWD, FFV AWD, HEV AWD, HEV RWD, and FFV RWD. AutoTrust averages MPG across all variants to produce one representative figure per make/model/year. This reflects the range of configurations a buyer might encounter rather than picking the best-case variant.</w:t>
      </w:r>
    </w:p>
    <w:p>
      <w:pPr>
        <w:spacing w:after="0" w:before="80"/>
      </w:pPr>
      <w:r>
        <w:t xml:space="preserve"/>
      </w:r>
    </w:p>
    <w:p>
      <w:pPr>
        <w:pStyle w:val="Heading2"/>
        <w:spacing w:after="80" w:before="240"/>
      </w:pPr>
      <w:r>
        <w:rPr>
          <w:rFonts w:ascii="Arial" w:cs="Arial" w:eastAsia="Arial" w:hAnsi="Arial"/>
          <w:b/>
          <w:bCs/>
          <w:sz w:val="24"/>
          <w:szCs w:val="24"/>
        </w:rPr>
        <w:t xml:space="preserve">7.3 Handling null fuel data</w:t>
      </w:r>
    </w:p>
    <w:p>
      <w:pPr>
        <w:spacing w:after="100" w:before="60" w:line="320"/>
        <w:jc w:val="both"/>
      </w:pPr>
      <w:r>
        <w:rPr>
          <w:rFonts w:ascii="Arial" w:cs="Arial" w:eastAsia="Arial" w:hAnsi="Arial"/>
          <w:sz w:val="20"/>
          <w:szCs w:val="20"/>
        </w:rPr>
        <w:t xml:space="preserve">78 vehicles (6%) have no EPA fuel data. These are handled in the Gold join using a LEFT join and COALESCE so total_annual_cost always has a value.</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 Left join — vehicles without fuel data retain all reliability columns</w:t>
      </w:r>
    </w:p>
    <w:p>
      <w:pPr>
        <w:shd w:fill="F5F5F5" w:val="clear"/>
        <w:spacing w:after="0" w:before="0" w:line="260"/>
      </w:pPr>
      <w:r>
        <w:rPr>
          <w:rFonts w:ascii="Courier New" w:cs="Courier New" w:eastAsia="Courier New" w:hAnsi="Courier New"/>
          <w:sz w:val="17"/>
          <w:szCs w:val="17"/>
        </w:rPr>
        <w:t xml:space="preserve">fact_with_fuel = fact.join(fuel,</w:t>
      </w:r>
    </w:p>
    <w:p>
      <w:pPr>
        <w:shd w:fill="F5F5F5" w:val="clear"/>
        <w:spacing w:after="0" w:before="0" w:line="260"/>
      </w:pPr>
      <w:r>
        <w:rPr>
          <w:rFonts w:ascii="Courier New" w:cs="Courier New" w:eastAsia="Courier New" w:hAnsi="Courier New"/>
          <w:sz w:val="17"/>
          <w:szCs w:val="17"/>
        </w:rPr>
        <w:t xml:space="preserve">    ['vehicle_make', 'vehicle_model', 'model_year'], 'left')</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COALESCE ensures total_annual_cost is never NULL</w:t>
      </w:r>
    </w:p>
    <w:p>
      <w:pPr>
        <w:shd w:fill="F5F5F5" w:val="clear"/>
        <w:spacing w:after="0" w:before="0" w:line="260"/>
      </w:pPr>
      <w:r>
        <w:rPr>
          <w:rFonts w:ascii="Courier New" w:cs="Courier New" w:eastAsia="Courier New" w:hAnsi="Courier New"/>
          <w:sz w:val="17"/>
          <w:szCs w:val="17"/>
        </w:rPr>
        <w:t xml:space="preserve">total_annual_cost = annual_cost + COALESCE(annual_fuel_cost, 0.0)</w:t>
      </w:r>
    </w:p>
    <w:p>
      <w:r>
        <w:br w:type="page"/>
      </w:r>
    </w:p>
    <w:p>
      <w:pPr>
        <w:pStyle w:val="Heading1"/>
        <w:spacing w:after="120" w:before="360"/>
      </w:pPr>
      <w:r>
        <w:rPr>
          <w:rFonts w:ascii="Arial" w:cs="Arial" w:eastAsia="Arial" w:hAnsi="Arial"/>
          <w:b/>
          <w:bCs/>
          <w:sz w:val="28"/>
          <w:szCs w:val="28"/>
        </w:rPr>
        <w:t xml:space="preserve">8. Star Schema — Data Model</w:t>
      </w:r>
    </w:p>
    <w:p>
      <w:pPr>
        <w:spacing w:after="100" w:before="60" w:line="320"/>
        <w:jc w:val="both"/>
      </w:pPr>
      <w:r>
        <w:rPr>
          <w:rFonts w:ascii="Arial" w:cs="Arial" w:eastAsia="Arial" w:hAnsi="Arial"/>
          <w:sz w:val="20"/>
          <w:szCs w:val="20"/>
        </w:rPr>
        <w:t xml:space="preserve">The Gold layer is structured as a star schema with one fact table and three dimension tables. This design optimises Power BI Direct Lake query performance and enforces clean separation between measures (fact) and filter context (dims).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400"/>
        <w:gridCol w:w="800"/>
        <w:gridCol w:w="2160"/>
      </w:tblGrid>
      <w:tr>
        <w:tc>
          <w:tcPr>
            <w:tcW w:type="dxa" w:w="3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Table</w:t>
            </w:r>
          </w:p>
        </w:tc>
        <w:tc>
          <w:tcPr>
            <w:tcW w:type="dxa" w:w="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Type</w:t>
            </w:r>
          </w:p>
        </w:tc>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Grain</w:t>
            </w:r>
          </w:p>
        </w:tc>
        <w:tc>
          <w:tcPr>
            <w:tcW w:type="dxa" w:w="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Rows</w:t>
            </w:r>
          </w:p>
        </w:tc>
        <w:tc>
          <w:tcPr>
            <w:tcW w:type="dxa" w:w="21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Primary key</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gold_fact_vehicle_reliability</w:t>
            </w:r>
          </w:p>
        </w:tc>
        <w:tc>
          <w:tcPr>
            <w:tcW w:type="dxa" w:w="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FACT</w:t>
            </w:r>
          </w:p>
        </w:tc>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One row per vehicle make/model/year</w:t>
            </w:r>
          </w:p>
        </w:tc>
        <w:tc>
          <w:tcPr>
            <w:tcW w:type="dxa" w:w="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1,314</w:t>
            </w:r>
          </w:p>
        </w:tc>
        <w:tc>
          <w:tcPr>
            <w:tcW w:type="dxa" w:w="2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make + model + year</w:t>
            </w:r>
          </w:p>
        </w:tc>
      </w:tr>
      <w:tr>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gold_dim_make</w:t>
            </w:r>
          </w:p>
        </w:tc>
        <w:tc>
          <w:tcPr>
            <w:tcW w:type="dxa" w:w="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DIM</w:t>
            </w:r>
          </w:p>
        </w:tc>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One row per brand</w:t>
            </w:r>
          </w:p>
        </w:tc>
        <w:tc>
          <w:tcPr>
            <w:tcW w:type="dxa" w:w="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27</w:t>
            </w:r>
          </w:p>
        </w:tc>
        <w:tc>
          <w:tcPr>
            <w:tcW w:type="dxa" w:w="2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vehicle_make</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gold_dim_vehicle</w:t>
            </w:r>
          </w:p>
        </w:tc>
        <w:tc>
          <w:tcPr>
            <w:tcW w:type="dxa" w:w="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DIM</w:t>
            </w:r>
          </w:p>
        </w:tc>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One row per make/model/year</w:t>
            </w:r>
          </w:p>
        </w:tc>
        <w:tc>
          <w:tcPr>
            <w:tcW w:type="dxa" w:w="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77</w:t>
            </w:r>
          </w:p>
        </w:tc>
        <w:tc>
          <w:tcPr>
            <w:tcW w:type="dxa" w:w="2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make + model + year</w:t>
            </w:r>
          </w:p>
        </w:tc>
      </w:tr>
      <w:tr>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gold_dim_failure_category</w:t>
            </w:r>
          </w:p>
        </w:tc>
        <w:tc>
          <w:tcPr>
            <w:tcW w:type="dxa" w:w="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DIM</w:t>
            </w:r>
          </w:p>
        </w:tc>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One row per brand/component</w:t>
            </w:r>
          </w:p>
        </w:tc>
        <w:tc>
          <w:tcPr>
            <w:tcW w:type="dxa" w:w="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275</w:t>
            </w:r>
          </w:p>
        </w:tc>
        <w:tc>
          <w:tcPr>
            <w:tcW w:type="dxa" w:w="2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make + component_category</w:t>
            </w:r>
          </w:p>
        </w:tc>
      </w:tr>
    </w:tbl>
    <w:p>
      <w:pPr>
        <w:spacing w:after="0" w:before="120"/>
      </w:pPr>
      <w:r>
        <w:t xml:space="preserve"/>
      </w:r>
    </w:p>
    <w:p>
      <w:pPr>
        <w:pStyle w:val="Heading2"/>
        <w:spacing w:after="80" w:before="240"/>
      </w:pPr>
      <w:r>
        <w:rPr>
          <w:rFonts w:ascii="Arial" w:cs="Arial" w:eastAsia="Arial" w:hAnsi="Arial"/>
          <w:b/>
          <w:bCs/>
          <w:sz w:val="24"/>
          <w:szCs w:val="24"/>
        </w:rPr>
        <w:t xml:space="preserve">8.1 Fact table key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3760"/>
      </w:tblGrid>
      <w:tr>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Column</w:t>
            </w:r>
          </w:p>
        </w:tc>
        <w:tc>
          <w:tcPr>
            <w:tcW w:type="dxa" w:w="1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Type</w:t>
            </w:r>
          </w:p>
        </w:tc>
        <w:tc>
          <w:tcPr>
            <w:tcW w:type="dxa" w:w="16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Source</w:t>
            </w:r>
          </w:p>
        </w:tc>
        <w:tc>
          <w:tcPr>
            <w:tcW w:type="dxa" w:w="37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Description</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reliability_score</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double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Computed</w:t>
            </w:r>
          </w:p>
        </w:tc>
        <w:tc>
          <w:tcPr>
            <w:tcW w:type="dxa" w:w="3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0–100 composite reliability score</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recommendation_score</w:t>
            </w:r>
          </w:p>
        </w:tc>
        <w:tc>
          <w:tcPr>
            <w:tcW w:type="dxa" w:w="1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double</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Computed</w:t>
            </w:r>
          </w:p>
        </w:tc>
        <w:tc>
          <w:tcPr>
            <w:tcW w:type="dxa" w:w="3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0–100 weighted score including fuel</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annual_cost</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double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RepairPal</w:t>
            </w:r>
          </w:p>
        </w:tc>
        <w:tc>
          <w:tcPr>
            <w:tcW w:type="dxa" w:w="3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Annual repair running cost</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combined_mpg</w:t>
            </w:r>
          </w:p>
        </w:tc>
        <w:tc>
          <w:tcPr>
            <w:tcW w:type="dxa" w:w="1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float</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EPA API</w:t>
            </w:r>
          </w:p>
        </w:tc>
        <w:tc>
          <w:tcPr>
            <w:tcW w:type="dxa" w:w="3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Combined city/highway MPG</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annual_fuel_cost</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float</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EPA API</w:t>
            </w:r>
          </w:p>
        </w:tc>
        <w:tc>
          <w:tcPr>
            <w:tcW w:type="dxa" w:w="3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Estimated annual fuel cost ($)</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efficiency_tier</w:t>
            </w:r>
          </w:p>
        </w:tc>
        <w:tc>
          <w:tcPr>
            <w:tcW w:type="dxa" w:w="1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string</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Computed</w:t>
            </w:r>
          </w:p>
        </w:tc>
        <w:tc>
          <w:tcPr>
            <w:tcW w:type="dxa" w:w="3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Excellent / Good / Average / Below Avg / Poor</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total_annual_cost</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double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Computed</w:t>
            </w:r>
          </w:p>
        </w:tc>
        <w:tc>
          <w:tcPr>
            <w:tcW w:type="dxa" w:w="3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annual_cost + annual_fuel_cost</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fuel_category</w:t>
            </w:r>
          </w:p>
        </w:tc>
        <w:tc>
          <w:tcPr>
            <w:tcW w:type="dxa" w:w="1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string</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Computed</w:t>
            </w:r>
          </w:p>
        </w:tc>
        <w:tc>
          <w:tcPr>
            <w:tcW w:type="dxa" w:w="3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Regular / Premium / Electric / Diesel</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is_electric</w:t>
            </w:r>
          </w:p>
        </w:tc>
        <w:tc>
          <w:tcPr>
            <w:tcW w:type="dxa" w:w="1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boolean</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Computed</w:t>
            </w:r>
          </w:p>
        </w:tc>
        <w:tc>
          <w:tcPr>
            <w:tcW w:type="dxa" w:w="3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True for electric and hydrogen vehicles</w:t>
            </w:r>
          </w:p>
        </w:tc>
      </w:tr>
    </w:tbl>
    <w:p>
      <w:pPr>
        <w:spacing w:after="0" w:before="120"/>
      </w:pPr>
      <w:r>
        <w:t xml:space="preserve"/>
      </w:r>
    </w:p>
    <w:p>
      <w:pPr>
        <w:pStyle w:val="Heading2"/>
        <w:spacing w:after="80" w:before="240"/>
      </w:pPr>
      <w:r>
        <w:rPr>
          <w:rFonts w:ascii="Arial" w:cs="Arial" w:eastAsia="Arial" w:hAnsi="Arial"/>
          <w:b/>
          <w:bCs/>
          <w:sz w:val="24"/>
          <w:szCs w:val="24"/>
        </w:rPr>
        <w:t xml:space="preserve">8.2 Surrogate key</w:t>
      </w:r>
    </w:p>
    <w:p>
      <w:pPr>
        <w:spacing w:after="100" w:before="60" w:line="320"/>
        <w:jc w:val="both"/>
      </w:pPr>
      <w:r>
        <w:rPr>
          <w:rFonts w:ascii="Arial" w:cs="Arial" w:eastAsia="Arial" w:hAnsi="Arial"/>
          <w:sz w:val="20"/>
          <w:szCs w:val="20"/>
        </w:rPr>
        <w:t xml:space="preserve">Power BI does not support composite key relationships natively. A surrogate key is created as a calculated column in Power BI to enable the relationship between gold_dim_vehicle and gold_fact_vehicle_reliability.</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Vehicle Key =</w:t>
      </w:r>
    </w:p>
    <w:p>
      <w:pPr>
        <w:shd w:fill="F5F5F5" w:val="clear"/>
        <w:spacing w:after="0" w:before="0" w:line="260"/>
      </w:pPr>
      <w:r>
        <w:rPr>
          <w:rFonts w:ascii="Courier New" w:cs="Courier New" w:eastAsia="Courier New" w:hAnsi="Courier New"/>
          <w:sz w:val="17"/>
          <w:szCs w:val="17"/>
        </w:rPr>
        <w:t xml:space="preserve">gold_fact_vehicle_reliability[vehicle_make] &amp; '|' &amp;</w:t>
      </w:r>
    </w:p>
    <w:p>
      <w:pPr>
        <w:shd w:fill="F5F5F5" w:val="clear"/>
        <w:spacing w:after="0" w:before="0" w:line="260"/>
      </w:pPr>
      <w:r>
        <w:rPr>
          <w:rFonts w:ascii="Courier New" w:cs="Courier New" w:eastAsia="Courier New" w:hAnsi="Courier New"/>
          <w:sz w:val="17"/>
          <w:szCs w:val="17"/>
        </w:rPr>
        <w:t xml:space="preserve">gold_fact_vehicle_reliability[vehicle_model] &amp; '|' &amp;</w:t>
      </w:r>
    </w:p>
    <w:p>
      <w:pPr>
        <w:shd w:fill="F5F5F5" w:val="clear"/>
        <w:spacing w:after="0" w:before="0" w:line="260"/>
      </w:pPr>
      <w:r>
        <w:rPr>
          <w:rFonts w:ascii="Courier New" w:cs="Courier New" w:eastAsia="Courier New" w:hAnsi="Courier New"/>
          <w:sz w:val="17"/>
          <w:szCs w:val="17"/>
        </w:rPr>
        <w:t xml:space="preserve">FORMAT( gold_fact_vehicle_reliability[model_year], '0' )</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Example output: 'Toyota|Camry|2020'</w:t>
      </w:r>
    </w:p>
    <w:p>
      <w:r>
        <w:br w:type="page"/>
      </w:r>
    </w:p>
    <w:p>
      <w:pPr>
        <w:pStyle w:val="Heading1"/>
        <w:spacing w:after="120" w:before="360"/>
      </w:pPr>
      <w:r>
        <w:rPr>
          <w:rFonts w:ascii="Arial" w:cs="Arial" w:eastAsia="Arial" w:hAnsi="Arial"/>
          <w:b/>
          <w:bCs/>
          <w:sz w:val="28"/>
          <w:szCs w:val="28"/>
        </w:rPr>
        <w:t xml:space="preserve">9. Fabric Data Pipeline</w:t>
      </w:r>
    </w:p>
    <w:p>
      <w:pPr>
        <w:spacing w:after="100" w:before="60" w:line="320"/>
        <w:jc w:val="both"/>
      </w:pPr>
      <w:r>
        <w:rPr>
          <w:rFonts w:ascii="Arial" w:cs="Arial" w:eastAsia="Arial" w:hAnsi="Arial"/>
          <w:sz w:val="20"/>
          <w:szCs w:val="20"/>
        </w:rPr>
        <w:t xml:space="preserve">The AutoTrust_Daily_Pipeline orchestrates all 8 notebooks on a daily schedule at 00:00 UTC. All activity dependencies are set to Completion rather than Success — each stage runs regardless of whether the previous stage succeeded. This ensures partial refreshes rather than full blackouts on transient failures.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760"/>
        <w:gridCol w:w="1800"/>
      </w:tblGrid>
      <w:tr>
        <w:tc>
          <w:tcPr>
            <w:tcW w:type="dxa" w:w="3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Activity</w:t>
            </w:r>
          </w:p>
        </w:tc>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Notebook</w:t>
            </w:r>
          </w:p>
        </w:tc>
        <w:tc>
          <w:tcPr>
            <w:tcW w:type="dxa" w:w="17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Dependency</w:t>
            </w:r>
          </w:p>
        </w:tc>
        <w:tc>
          <w:tcPr>
            <w:tcW w:type="dxa" w:w="1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Duration</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Run_Bronze_Ingestion</w:t>
            </w:r>
          </w:p>
        </w:tc>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Bronze_ingestion</w:t>
            </w:r>
          </w:p>
        </w:tc>
        <w:tc>
          <w:tcPr>
            <w:tcW w:type="dxa" w:w="1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Schedule trigger</w:t>
            </w:r>
          </w:p>
        </w:tc>
        <w:tc>
          <w:tcPr>
            <w:tcW w:type="dxa" w:w="1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~22 min</w:t>
            </w:r>
          </w:p>
        </w:tc>
      </w:tr>
      <w:tr>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Run_Bronze_Standardization</w:t>
            </w:r>
          </w:p>
        </w:tc>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Bronze</w:t>
            </w:r>
          </w:p>
        </w:tc>
        <w:tc>
          <w:tcPr>
            <w:tcW w:type="dxa" w:w="1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~1 min</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Run_Silver_Transformation</w:t>
            </w:r>
          </w:p>
        </w:tc>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Silver</w:t>
            </w:r>
          </w:p>
        </w:tc>
        <w:tc>
          <w:tcPr>
            <w:tcW w:type="dxa" w:w="1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~1 min</w:t>
            </w:r>
          </w:p>
        </w:tc>
      </w:tr>
      <w:tr>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Run_Gold_Build</w:t>
            </w:r>
          </w:p>
        </w:tc>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w:t>
            </w:r>
          </w:p>
        </w:tc>
        <w:tc>
          <w:tcPr>
            <w:tcW w:type="dxa" w:w="1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~4 min</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Run_Bronze_Fuel_Economy</w:t>
            </w:r>
          </w:p>
        </w:tc>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Bronze_Fuel_Economy</w:t>
            </w:r>
          </w:p>
        </w:tc>
        <w:tc>
          <w:tcPr>
            <w:tcW w:type="dxa" w:w="1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~30s incremental</w:t>
            </w:r>
          </w:p>
        </w:tc>
      </w:tr>
      <w:tr>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Run_Silver_Fuel_Economy</w:t>
            </w:r>
          </w:p>
        </w:tc>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Silver_Fuel_Economy</w:t>
            </w:r>
          </w:p>
        </w:tc>
        <w:tc>
          <w:tcPr>
            <w:tcW w:type="dxa" w:w="1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~1 min</w:t>
            </w:r>
          </w:p>
        </w:tc>
      </w:tr>
      <w:tr>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Run_Gold_Fuel_Economy</w:t>
            </w:r>
          </w:p>
        </w:tc>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Gold_Fuel_Economy</w:t>
            </w:r>
          </w:p>
        </w:tc>
        <w:tc>
          <w:tcPr>
            <w:tcW w:type="dxa" w:w="17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~1 min</w:t>
            </w:r>
          </w:p>
        </w:tc>
      </w:tr>
      <w:tr>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Run_Pipeline_Monitor</w:t>
            </w:r>
          </w:p>
        </w:tc>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Pipeline_Monitor</w:t>
            </w:r>
          </w:p>
        </w:tc>
        <w:tc>
          <w:tcPr>
            <w:tcW w:type="dxa" w:w="17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Completion</w:t>
            </w:r>
          </w:p>
        </w:tc>
        <w:tc>
          <w:tcPr>
            <w:tcW w:type="dxa" w:w="1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~34s</w:t>
            </w:r>
          </w:p>
        </w:tc>
      </w:tr>
    </w:tbl>
    <w:p>
      <w:pPr>
        <w:spacing w:after="0" w:before="120"/>
      </w:pPr>
      <w:r>
        <w:t xml:space="preserve"/>
      </w:r>
    </w:p>
    <w:p>
      <w:pPr>
        <w:pStyle w:val="Heading2"/>
        <w:spacing w:after="80" w:before="240"/>
      </w:pPr>
      <w:r>
        <w:rPr>
          <w:rFonts w:ascii="Arial" w:cs="Arial" w:eastAsia="Arial" w:hAnsi="Arial"/>
          <w:b/>
          <w:bCs/>
          <w:sz w:val="24"/>
          <w:szCs w:val="24"/>
        </w:rPr>
        <w:t xml:space="preserve">9.1 Pipeline observability</w:t>
      </w:r>
    </w:p>
    <w:p>
      <w:pPr>
        <w:spacing w:after="100" w:before="60" w:line="320"/>
        <w:jc w:val="both"/>
      </w:pPr>
      <w:r>
        <w:rPr>
          <w:rFonts w:ascii="Arial" w:cs="Arial" w:eastAsia="Arial" w:hAnsi="Arial"/>
          <w:sz w:val="20"/>
          <w:szCs w:val="20"/>
        </w:rPr>
        <w:t xml:space="preserve">Every notebook appends a run record to the pipeline_run_log Delta table on completion. The Pipeline_Monitor reads this table at the end of each run and reports success/failure status and Gold table row counts.</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log_row = Row(</w:t>
      </w:r>
    </w:p>
    <w:p>
      <w:pPr>
        <w:shd w:fill="F5F5F5" w:val="clear"/>
        <w:spacing w:after="0" w:before="0" w:line="260"/>
      </w:pPr>
      <w:r>
        <w:rPr>
          <w:rFonts w:ascii="Courier New" w:cs="Courier New" w:eastAsia="Courier New" w:hAnsi="Courier New"/>
          <w:sz w:val="17"/>
          <w:szCs w:val="17"/>
        </w:rPr>
        <w:t xml:space="preserve">    notebook_name = notebook_name,</w:t>
      </w:r>
    </w:p>
    <w:p>
      <w:pPr>
        <w:shd w:fill="F5F5F5" w:val="clear"/>
        <w:spacing w:after="0" w:before="0" w:line="260"/>
      </w:pPr>
      <w:r>
        <w:rPr>
          <w:rFonts w:ascii="Courier New" w:cs="Courier New" w:eastAsia="Courier New" w:hAnsi="Courier New"/>
          <w:sz w:val="17"/>
          <w:szCs w:val="17"/>
        </w:rPr>
        <w:t xml:space="preserve">    run_start     = run_start,</w:t>
      </w:r>
    </w:p>
    <w:p>
      <w:pPr>
        <w:shd w:fill="F5F5F5" w:val="clear"/>
        <w:spacing w:after="0" w:before="0" w:line="260"/>
      </w:pPr>
      <w:r>
        <w:rPr>
          <w:rFonts w:ascii="Courier New" w:cs="Courier New" w:eastAsia="Courier New" w:hAnsi="Courier New"/>
          <w:sz w:val="17"/>
          <w:szCs w:val="17"/>
        </w:rPr>
        <w:t xml:space="preserve">    run_end       = datetime.utcnow(),</w:t>
      </w:r>
    </w:p>
    <w:p>
      <w:pPr>
        <w:shd w:fill="F5F5F5" w:val="clear"/>
        <w:spacing w:after="0" w:before="0" w:line="260"/>
      </w:pPr>
      <w:r>
        <w:rPr>
          <w:rFonts w:ascii="Courier New" w:cs="Courier New" w:eastAsia="Courier New" w:hAnsi="Courier New"/>
          <w:sz w:val="17"/>
          <w:szCs w:val="17"/>
        </w:rPr>
        <w:t xml:space="preserve">    duration_secs = (run_end - run_start).seconds,</w:t>
      </w:r>
    </w:p>
    <w:p>
      <w:pPr>
        <w:shd w:fill="F5F5F5" w:val="clear"/>
        <w:spacing w:after="0" w:before="0" w:line="260"/>
      </w:pPr>
      <w:r>
        <w:rPr>
          <w:rFonts w:ascii="Courier New" w:cs="Courier New" w:eastAsia="Courier New" w:hAnsi="Courier New"/>
          <w:sz w:val="17"/>
          <w:szCs w:val="17"/>
        </w:rPr>
        <w:t xml:space="preserve">    status        = 'SUCCESS'</w:t>
      </w:r>
    </w:p>
    <w:p>
      <w:pPr>
        <w:shd w:fill="F5F5F5" w:val="clear"/>
        <w:spacing w:after="0" w:before="0" w:line="260"/>
      </w:pPr>
      <w:r>
        <w:rPr>
          <w:rFonts w:ascii="Courier New" w:cs="Courier New" w:eastAsia="Courier New" w:hAnsi="Courier New"/>
          <w:sz w:val="17"/>
          <w:szCs w:val="17"/>
        </w:rPr>
        <w:t xml:space="preserve">)</w:t>
      </w:r>
    </w:p>
    <w:p>
      <w:pPr>
        <w:shd w:fill="F5F5F5" w:val="clear"/>
        <w:spacing w:after="0" w:before="0" w:line="260"/>
      </w:pPr>
      <w:r>
        <w:rPr>
          <w:rFonts w:ascii="Courier New" w:cs="Courier New" w:eastAsia="Courier New" w:hAnsi="Courier New"/>
          <w:sz w:val="17"/>
          <w:szCs w:val="17"/>
        </w:rPr>
        <w:t xml:space="preserve">spark.createDataFrame([log_row], schema=log_schema) \</w:t>
      </w:r>
    </w:p>
    <w:p>
      <w:pPr>
        <w:shd w:fill="F5F5F5" w:val="clear"/>
        <w:spacing w:after="0" w:before="0" w:line="260"/>
      </w:pPr>
      <w:r>
        <w:rPr>
          <w:rFonts w:ascii="Courier New" w:cs="Courier New" w:eastAsia="Courier New" w:hAnsi="Courier New"/>
          <w:sz w:val="17"/>
          <w:szCs w:val="17"/>
        </w:rPr>
        <w:t xml:space="preserve">     .write.format('delta').mode('append') \</w:t>
      </w:r>
    </w:p>
    <w:p>
      <w:pPr>
        <w:shd w:fill="F5F5F5" w:val="clear"/>
        <w:spacing w:after="0" w:before="0" w:line="260"/>
      </w:pPr>
      <w:r>
        <w:rPr>
          <w:rFonts w:ascii="Courier New" w:cs="Courier New" w:eastAsia="Courier New" w:hAnsi="Courier New"/>
          <w:sz w:val="17"/>
          <w:szCs w:val="17"/>
        </w:rPr>
        <w:t xml:space="preserve">     .saveAsTable('pipeline_run_log')</w:t>
      </w:r>
    </w:p>
    <w:p>
      <w:pPr>
        <w:spacing w:after="0" w:before="120"/>
      </w:pPr>
      <w:r>
        <w:t xml:space="preserve"/>
      </w:r>
    </w:p>
    <w:p>
      <w:pPr>
        <w:pStyle w:val="Heading2"/>
        <w:spacing w:after="80" w:before="240"/>
      </w:pPr>
      <w:r>
        <w:rPr>
          <w:rFonts w:ascii="Arial" w:cs="Arial" w:eastAsia="Arial" w:hAnsi="Arial"/>
          <w:b/>
          <w:bCs/>
          <w:sz w:val="24"/>
          <w:szCs w:val="24"/>
        </w:rPr>
        <w:t xml:space="preserve">9.2 Incremental fuel fetch</w:t>
      </w:r>
    </w:p>
    <w:p>
      <w:pPr>
        <w:spacing w:after="100" w:before="60" w:line="320"/>
        <w:jc w:val="both"/>
      </w:pPr>
      <w:r>
        <w:rPr>
          <w:rFonts w:ascii="Arial" w:cs="Arial" w:eastAsia="Arial" w:hAnsi="Arial"/>
          <w:sz w:val="20"/>
          <w:szCs w:val="20"/>
        </w:rPr>
        <w:t xml:space="preserve">The Bronze_Fuel_Economy notebook uses incremental logic to avoid re-calling the EPA API for 1,314 vehicles every day. On a typical run with no new vehicles, it completes in under 30 seconds. A force_full_refresh flag re-fetches all vehicles when needed.</w:t>
      </w:r>
    </w:p>
    <w:p>
      <w:r>
        <w:br w:type="page"/>
      </w:r>
    </w:p>
    <w:p>
      <w:pPr>
        <w:pStyle w:val="Heading1"/>
        <w:spacing w:after="120" w:before="360"/>
      </w:pPr>
      <w:r>
        <w:rPr>
          <w:rFonts w:ascii="Arial" w:cs="Arial" w:eastAsia="Arial" w:hAnsi="Arial"/>
          <w:b/>
          <w:bCs/>
          <w:sz w:val="28"/>
          <w:szCs w:val="28"/>
        </w:rPr>
        <w:t xml:space="preserve">10. Power BI — Data Model &amp; Relationships</w:t>
      </w:r>
    </w:p>
    <w:p>
      <w:pPr>
        <w:spacing w:after="100" w:before="60" w:line="320"/>
        <w:jc w:val="both"/>
      </w:pPr>
      <w:r>
        <w:rPr>
          <w:rFonts w:ascii="Arial" w:cs="Arial" w:eastAsia="Arial" w:hAnsi="Arial"/>
          <w:sz w:val="20"/>
          <w:szCs w:val="20"/>
        </w:rPr>
        <w:t xml:space="preserve">The Power BI semantic model connects the Gold layer tables via the following relationships. All tables are loaded via Direct Lake mode — they read directly from the Fabric Lakehouse Delta files without import or DirectQuery overhead.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1600"/>
        <w:gridCol w:w="2560"/>
      </w:tblGrid>
      <w:tr>
        <w:tc>
          <w:tcPr>
            <w:tcW w:type="dxa" w:w="26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From table</w:t>
            </w:r>
          </w:p>
        </w:tc>
        <w:tc>
          <w:tcPr>
            <w:tcW w:type="dxa" w:w="26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To table</w:t>
            </w:r>
          </w:p>
        </w:tc>
        <w:tc>
          <w:tcPr>
            <w:tcW w:type="dxa" w:w="1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Cardinality</w:t>
            </w:r>
          </w:p>
        </w:tc>
        <w:tc>
          <w:tcPr>
            <w:tcW w:type="dxa" w:w="16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Cross-filter</w:t>
            </w:r>
          </w:p>
        </w:tc>
        <w:tc>
          <w:tcPr>
            <w:tcW w:type="dxa" w:w="25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Reason</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gold_dim_make</w:t>
            </w:r>
          </w:p>
        </w:tc>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gold_fact_vehicle_reliability</w:t>
            </w:r>
          </w:p>
        </w:tc>
        <w:tc>
          <w:tcPr>
            <w:tcW w:type="dxa" w:w="1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1:many</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Single</w:t>
            </w:r>
          </w:p>
        </w:tc>
        <w:tc>
          <w:tcPr>
            <w:tcW w:type="dxa" w:w="25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Standard star schema — brand filters models</w:t>
            </w:r>
          </w:p>
        </w:tc>
      </w:tr>
      <w:tr>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gold_dim_vehicle</w:t>
            </w:r>
          </w:p>
        </w:tc>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gold_fact_vehicle_reliability</w:t>
            </w:r>
          </w:p>
        </w:tc>
        <w:tc>
          <w:tcPr>
            <w:tcW w:type="dxa" w:w="1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1:1</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Both</w:t>
            </w:r>
          </w:p>
        </w:tc>
        <w:tc>
          <w:tcPr>
            <w:tcW w:type="dxa" w:w="25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Both direction needed for image cross-filter</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gold_dim_failure_category</w:t>
            </w:r>
          </w:p>
        </w:tc>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gold_dim_make</w:t>
            </w:r>
          </w:p>
        </w:tc>
        <w:tc>
          <w:tcPr>
            <w:tcW w:type="dxa" w:w="1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many:1</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Single</w:t>
            </w:r>
          </w:p>
        </w:tc>
        <w:tc>
          <w:tcPr>
            <w:tcW w:type="dxa" w:w="25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Failure data at brand level — routes through dim_make</w:t>
            </w:r>
          </w:p>
        </w:tc>
      </w:tr>
      <w:tr>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silver_logos</w:t>
            </w:r>
          </w:p>
        </w:tc>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gold_dim_make</w:t>
            </w:r>
          </w:p>
        </w:tc>
        <w:tc>
          <w:tcPr>
            <w:tcW w:type="dxa" w:w="1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1:1</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Both</w:t>
            </w:r>
          </w:p>
        </w:tc>
        <w:tc>
          <w:tcPr>
            <w:tcW w:type="dxa" w:w="25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Both enables clicking brand to highlight logo</w:t>
            </w:r>
          </w:p>
        </w:tc>
      </w:tr>
      <w:tr>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Budget Buckets</w:t>
            </w:r>
          </w:p>
        </w:tc>
        <w:tc>
          <w:tcPr>
            <w:tcW w:type="dxa" w:w="2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disconnected</w:t>
            </w:r>
          </w:p>
        </w:tc>
        <w:tc>
          <w:tcPr>
            <w:tcW w:type="dxa" w:w="1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none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none</w:t>
            </w:r>
          </w:p>
        </w:tc>
        <w:tc>
          <w:tcPr>
            <w:tcW w:type="dxa" w:w="25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Read via SELECTEDVALUE() — no relationship needed</w:t>
            </w:r>
          </w:p>
        </w:tc>
      </w:tr>
      <w:tr>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Profile Axis</w:t>
            </w:r>
          </w:p>
        </w:tc>
        <w:tc>
          <w:tcPr>
            <w:tcW w:type="dxa" w:w="2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disconnected</w:t>
            </w:r>
          </w:p>
        </w:tc>
        <w:tc>
          <w:tcPr>
            <w:tcW w:type="dxa" w:w="1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none</w:t>
            </w:r>
          </w:p>
        </w:tc>
        <w:tc>
          <w:tcPr>
            <w:tcW w:type="dxa" w:w="16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none</w:t>
            </w:r>
          </w:p>
        </w:tc>
        <w:tc>
          <w:tcPr>
            <w:tcW w:type="dxa" w:w="25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Disconnected axis table for SWITCH measures</w:t>
            </w:r>
          </w:p>
        </w:tc>
      </w:tr>
    </w:tbl>
    <w:p>
      <w:pPr>
        <w:spacing w:after="0" w:before="120"/>
      </w:pPr>
      <w:r>
        <w:t xml:space="preserve"/>
      </w:r>
    </w:p>
    <w:p>
      <w:pPr>
        <w:pStyle w:val="Heading2"/>
        <w:spacing w:after="80" w:before="240"/>
      </w:pPr>
      <w:r>
        <w:rPr>
          <w:rFonts w:ascii="Arial" w:cs="Arial" w:eastAsia="Arial" w:hAnsi="Arial"/>
          <w:b/>
          <w:bCs/>
          <w:sz w:val="24"/>
          <w:szCs w:val="24"/>
        </w:rPr>
        <w:t xml:space="preserve">10.1 Disconnected tables</w:t>
      </w:r>
    </w:p>
    <w:p>
      <w:pPr>
        <w:spacing w:after="100" w:before="60" w:line="320"/>
        <w:jc w:val="both"/>
      </w:pPr>
      <w:r>
        <w:rPr>
          <w:rFonts w:ascii="Arial" w:cs="Arial" w:eastAsia="Arial" w:hAnsi="Arial"/>
          <w:sz w:val="20"/>
          <w:szCs w:val="20"/>
        </w:rPr>
        <w:t xml:space="preserve">Three helper tables have no relationships. Budget Buckets drives the budget slicer on Page 4. Profile Axis and Radar Axis provide category labels for score breakdown visuals. All are read exclusively via SELECTEDVALUE() in DAX.</w:t>
      </w:r>
    </w:p>
    <w:p>
      <w:pPr>
        <w:spacing w:after="0" w:before="80"/>
      </w:pPr>
      <w:r>
        <w:t xml:space="preserve"/>
      </w:r>
    </w:p>
    <w:p>
      <w:pPr>
        <w:pStyle w:val="Heading2"/>
        <w:spacing w:after="80" w:before="240"/>
      </w:pPr>
      <w:r>
        <w:rPr>
          <w:rFonts w:ascii="Arial" w:cs="Arial" w:eastAsia="Arial" w:hAnsi="Arial"/>
          <w:b/>
          <w:bCs/>
          <w:sz w:val="24"/>
          <w:szCs w:val="24"/>
        </w:rPr>
        <w:t xml:space="preserve">10.2 Why cross-filter = Both on silver_logos?</w:t>
      </w:r>
    </w:p>
    <w:p>
      <w:pPr>
        <w:spacing w:after="100" w:before="60" w:line="320"/>
        <w:jc w:val="both"/>
      </w:pPr>
      <w:r>
        <w:rPr>
          <w:rFonts w:ascii="Arial" w:cs="Arial" w:eastAsia="Arial" w:hAnsi="Arial"/>
          <w:sz w:val="20"/>
          <w:szCs w:val="20"/>
        </w:rPr>
        <w:t xml:space="preserve">Setting cross-filter direction to Both allows clicking a brand row in the table to highlight the corresponding logo, AND clicking a logo to filter analytical visuals. One-directional filtering would break the logo-to-visual cross-filter interaction.</w:t>
      </w:r>
    </w:p>
    <w:p>
      <w:r>
        <w:br w:type="page"/>
      </w:r>
    </w:p>
    <w:p>
      <w:pPr>
        <w:pStyle w:val="Heading1"/>
        <w:spacing w:after="120" w:before="360"/>
      </w:pPr>
      <w:r>
        <w:rPr>
          <w:rFonts w:ascii="Arial" w:cs="Arial" w:eastAsia="Arial" w:hAnsi="Arial"/>
          <w:b/>
          <w:bCs/>
          <w:sz w:val="28"/>
          <w:szCs w:val="28"/>
        </w:rPr>
        <w:t xml:space="preserve">11. Power BI — DAX Measures</w:t>
      </w:r>
    </w:p>
    <w:p>
      <w:pPr>
        <w:spacing w:after="100" w:before="60" w:line="320"/>
        <w:jc w:val="both"/>
      </w:pPr>
      <w:r>
        <w:rPr>
          <w:rFonts w:ascii="Arial" w:cs="Arial" w:eastAsia="Arial" w:hAnsi="Arial"/>
          <w:sz w:val="20"/>
          <w:szCs w:val="20"/>
        </w:rPr>
        <w:t xml:space="preserve">All measures are housed in a dedicated _Measures table to keep the model organised. Measures are grouped by page and function below.</w:t>
      </w:r>
    </w:p>
    <w:p>
      <w:pPr>
        <w:spacing w:after="0" w:before="80"/>
      </w:pPr>
      <w:r>
        <w:t xml:space="preserve"/>
      </w:r>
    </w:p>
    <w:p>
      <w:pPr>
        <w:pStyle w:val="Heading2"/>
        <w:spacing w:after="80" w:before="240"/>
      </w:pPr>
      <w:r>
        <w:rPr>
          <w:rFonts w:ascii="Arial" w:cs="Arial" w:eastAsia="Arial" w:hAnsi="Arial"/>
          <w:b/>
          <w:bCs/>
          <w:sz w:val="24"/>
          <w:szCs w:val="24"/>
        </w:rPr>
        <w:t xml:space="preserve">11.1 Global KPI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Measure</w:t>
            </w:r>
          </w:p>
        </w:tc>
        <w:tc>
          <w:tcPr>
            <w:tcW w:type="dxa" w:w="3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Formula summary</w:t>
            </w:r>
          </w:p>
        </w:tc>
        <w:tc>
          <w:tcPr>
            <w:tcW w:type="dxa" w:w="3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Why</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Total Brands</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DISTINCTCOUNT(gold_dim_make[vehicle_make])</w:t>
            </w:r>
          </w:p>
        </w:tc>
        <w:tc>
          <w:tcPr>
            <w:tcW w:type="dxa" w:w="33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Respects slicer context — shows filtered brand count</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Avg Brand Reliability</w:t>
            </w:r>
          </w:p>
        </w:tc>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AVERAGE(gold_dim_make[reliability_score])</w:t>
            </w:r>
          </w:p>
        </w:tc>
        <w:tc>
          <w:tcPr>
            <w:tcW w:type="dxa" w:w="33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Brand-level average, not model-level</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Total Complaints</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SUM(gold_dim_make[total_complaints])</w:t>
            </w:r>
          </w:p>
        </w:tc>
        <w:tc>
          <w:tcPr>
            <w:tcW w:type="dxa" w:w="33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Aggregates across selected brands</w:t>
            </w:r>
          </w:p>
        </w:tc>
      </w:tr>
      <w:tr>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Top Rated Brand</w:t>
            </w:r>
          </w:p>
        </w:tc>
        <w:tc>
          <w:tcPr>
            <w:tcW w:type="dxa" w:w="32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FIRSTNONBLANK over TOPN(1) by reliability_score</w:t>
            </w:r>
          </w:p>
        </w:tc>
        <w:tc>
          <w:tcPr>
            <w:tcW w:type="dxa" w:w="33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Returns top brand in current filter context dynamically</w:t>
            </w:r>
          </w:p>
        </w:tc>
      </w:tr>
      <w:tr>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Total Recalls</w:t>
            </w:r>
          </w:p>
        </w:tc>
        <w:tc>
          <w:tcPr>
            <w:tcW w:type="dxa" w:w="32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SUM(gold_dim_make[total_recalls])</w:t>
            </w:r>
          </w:p>
        </w:tc>
        <w:tc>
          <w:tcPr>
            <w:tcW w:type="dxa" w:w="33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Used in treemap size encoding</w:t>
            </w:r>
          </w:p>
        </w:tc>
      </w:tr>
    </w:tbl>
    <w:p>
      <w:pPr>
        <w:spacing w:after="0" w:before="120"/>
      </w:pPr>
      <w:r>
        <w:t xml:space="preserve"/>
      </w:r>
    </w:p>
    <w:p>
      <w:pPr>
        <w:pStyle w:val="Heading2"/>
        <w:spacing w:after="80" w:before="240"/>
      </w:pPr>
      <w:r>
        <w:rPr>
          <w:rFonts w:ascii="Arial" w:cs="Arial" w:eastAsia="Arial" w:hAnsi="Arial"/>
          <w:b/>
          <w:bCs/>
          <w:sz w:val="24"/>
          <w:szCs w:val="24"/>
        </w:rPr>
        <w:t xml:space="preserve">11.2 HASONEVALUE pattern</w:t>
      </w:r>
    </w:p>
    <w:p>
      <w:pPr>
        <w:spacing w:after="100" w:before="60" w:line="320"/>
        <w:jc w:val="both"/>
      </w:pPr>
      <w:r>
        <w:rPr>
          <w:rFonts w:ascii="Arial" w:cs="Arial" w:eastAsia="Arial" w:hAnsi="Arial"/>
          <w:sz w:val="20"/>
          <w:szCs w:val="20"/>
        </w:rPr>
        <w:t xml:space="preserve">Many measures use HASONEVALUE() to return a value only when exactly one item is selected. This prevents meaningless aggregations when multiple brands or models are in context.</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Selected Brand Score =</w:t>
      </w:r>
    </w:p>
    <w:p>
      <w:pPr>
        <w:shd w:fill="F5F5F5" w:val="clear"/>
        <w:spacing w:after="0" w:before="0" w:line="260"/>
      </w:pPr>
      <w:r>
        <w:rPr>
          <w:rFonts w:ascii="Courier New" w:cs="Courier New" w:eastAsia="Courier New" w:hAnsi="Courier New"/>
          <w:sz w:val="17"/>
          <w:szCs w:val="17"/>
        </w:rPr>
        <w:t xml:space="preserve">IF(</w:t>
      </w:r>
    </w:p>
    <w:p>
      <w:pPr>
        <w:shd w:fill="F5F5F5" w:val="clear"/>
        <w:spacing w:after="0" w:before="0" w:line="260"/>
      </w:pPr>
      <w:r>
        <w:rPr>
          <w:rFonts w:ascii="Courier New" w:cs="Courier New" w:eastAsia="Courier New" w:hAnsi="Courier New"/>
          <w:sz w:val="17"/>
          <w:szCs w:val="17"/>
        </w:rPr>
        <w:t xml:space="preserve">    HASONEVALUE( gold_dim_make[vehicle_make] ),</w:t>
      </w:r>
    </w:p>
    <w:p>
      <w:pPr>
        <w:shd w:fill="F5F5F5" w:val="clear"/>
        <w:spacing w:after="0" w:before="0" w:line="260"/>
      </w:pPr>
      <w:r>
        <w:rPr>
          <w:rFonts w:ascii="Courier New" w:cs="Courier New" w:eastAsia="Courier New" w:hAnsi="Courier New"/>
          <w:sz w:val="17"/>
          <w:szCs w:val="17"/>
        </w:rPr>
        <w:t xml:space="preserve">    SELECTEDVALUE( gold_dim_make[reliability_score] ),</w:t>
      </w:r>
    </w:p>
    <w:p>
      <w:pPr>
        <w:shd w:fill="F5F5F5" w:val="clear"/>
        <w:spacing w:after="0" w:before="0" w:line="260"/>
      </w:pPr>
      <w:r>
        <w:rPr>
          <w:rFonts w:ascii="Courier New" w:cs="Courier New" w:eastAsia="Courier New" w:hAnsi="Courier New"/>
          <w:sz w:val="17"/>
          <w:szCs w:val="17"/>
        </w:rPr>
        <w:t xml:space="preserve">    BLANK()  -- Returns blank when multiple brands selected</w:t>
      </w:r>
    </w:p>
    <w:p>
      <w:pPr>
        <w:shd w:fill="F5F5F5" w:val="clear"/>
        <w:spacing w:after="0" w:before="0" w:line="260"/>
      </w:pPr>
      <w:r>
        <w:rPr>
          <w:rFonts w:ascii="Courier New" w:cs="Courier New" w:eastAsia="Courier New" w:hAnsi="Courier New"/>
          <w:sz w:val="17"/>
          <w:szCs w:val="17"/>
        </w:rPr>
        <w:t xml:space="preserve">)</w:t>
      </w:r>
    </w:p>
    <w:p>
      <w:pPr>
        <w:spacing w:after="0" w:before="120"/>
      </w:pPr>
      <w:r>
        <w:t xml:space="preserve"/>
      </w:r>
    </w:p>
    <w:p>
      <w:pPr>
        <w:pStyle w:val="Heading2"/>
        <w:spacing w:after="80" w:before="240"/>
      </w:pPr>
      <w:r>
        <w:rPr>
          <w:rFonts w:ascii="Arial" w:cs="Arial" w:eastAsia="Arial" w:hAnsi="Arial"/>
          <w:b/>
          <w:bCs/>
          <w:sz w:val="24"/>
          <w:szCs w:val="24"/>
        </w:rPr>
        <w:t xml:space="preserve">11.3 Bullet chart measures</w:t>
      </w:r>
    </w:p>
    <w:p>
      <w:pPr>
        <w:spacing w:after="100" w:before="60" w:line="320"/>
        <w:jc w:val="both"/>
      </w:pPr>
      <w:r>
        <w:rPr>
          <w:rFonts w:ascii="Arial" w:cs="Arial" w:eastAsia="Arial" w:hAnsi="Arial"/>
          <w:sz w:val="20"/>
          <w:szCs w:val="20"/>
        </w:rPr>
        <w:t xml:space="preserve">The bullet chart on Page 1 uses a disconnected Radar Axis table as the Y axis. A SWITCH measure reads SELECTEDVALUE from this axis to return the correct inverted score for each dimension. Norm values are inverted (100 - norm) so that higher always means better.</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Bullet Chart Value =</w:t>
      </w:r>
    </w:p>
    <w:p>
      <w:pPr>
        <w:shd w:fill="F5F5F5" w:val="clear"/>
        <w:spacing w:after="0" w:before="0" w:line="260"/>
      </w:pPr>
      <w:r>
        <w:rPr>
          <w:rFonts w:ascii="Courier New" w:cs="Courier New" w:eastAsia="Courier New" w:hAnsi="Courier New"/>
          <w:sz w:val="17"/>
          <w:szCs w:val="17"/>
        </w:rPr>
        <w:t xml:space="preserve">SWITCH(</w:t>
      </w:r>
    </w:p>
    <w:p>
      <w:pPr>
        <w:shd w:fill="F5F5F5" w:val="clear"/>
        <w:spacing w:after="0" w:before="0" w:line="260"/>
      </w:pPr>
      <w:r>
        <w:rPr>
          <w:rFonts w:ascii="Courier New" w:cs="Courier New" w:eastAsia="Courier New" w:hAnsi="Courier New"/>
          <w:sz w:val="17"/>
          <w:szCs w:val="17"/>
        </w:rPr>
        <w:t xml:space="preserve">    SELECTEDVALUE( 'Radar Axis'[Metric] ),</w:t>
      </w:r>
    </w:p>
    <w:p>
      <w:pPr>
        <w:shd w:fill="F5F5F5" w:val="clear"/>
        <w:spacing w:after="0" w:before="0" w:line="260"/>
      </w:pPr>
      <w:r>
        <w:rPr>
          <w:rFonts w:ascii="Courier New" w:cs="Courier New" w:eastAsia="Courier New" w:hAnsi="Courier New"/>
          <w:sz w:val="17"/>
          <w:szCs w:val="17"/>
        </w:rPr>
        <w:t xml:space="preserve">    'Complaints', 100 - SELECTEDVALUE( gold_dim_make[complaints_norm] ),</w:t>
      </w:r>
    </w:p>
    <w:p>
      <w:pPr>
        <w:shd w:fill="F5F5F5" w:val="clear"/>
        <w:spacing w:after="0" w:before="0" w:line="260"/>
      </w:pPr>
      <w:r>
        <w:rPr>
          <w:rFonts w:ascii="Courier New" w:cs="Courier New" w:eastAsia="Courier New" w:hAnsi="Courier New"/>
          <w:sz w:val="17"/>
          <w:szCs w:val="17"/>
        </w:rPr>
        <w:t xml:space="preserve">    'Recalls',    100 - SELECTEDVALUE( gold_dim_make[recalls_norm] ),</w:t>
      </w:r>
    </w:p>
    <w:p>
      <w:pPr>
        <w:shd w:fill="F5F5F5" w:val="clear"/>
        <w:spacing w:after="0" w:before="0" w:line="260"/>
      </w:pPr>
      <w:r>
        <w:rPr>
          <w:rFonts w:ascii="Courier New" w:cs="Courier New" w:eastAsia="Courier New" w:hAnsi="Courier New"/>
          <w:sz w:val="17"/>
          <w:szCs w:val="17"/>
        </w:rPr>
        <w:t xml:space="preserve">    'Cost',       100 - SELECTEDVALUE( gold_dim_make[cost_norm] ),</w:t>
      </w:r>
    </w:p>
    <w:p>
      <w:pPr>
        <w:shd w:fill="F5F5F5" w:val="clear"/>
        <w:spacing w:after="0" w:before="0" w:line="260"/>
      </w:pPr>
      <w:r>
        <w:rPr>
          <w:rFonts w:ascii="Courier New" w:cs="Courier New" w:eastAsia="Courier New" w:hAnsi="Courier New"/>
          <w:sz w:val="17"/>
          <w:szCs w:val="17"/>
        </w:rPr>
        <w:t xml:space="preserve">    BLANK()</w:t>
      </w:r>
    </w:p>
    <w:p>
      <w:pPr>
        <w:shd w:fill="F5F5F5" w:val="clear"/>
        <w:spacing w:after="0" w:before="0" w:line="260"/>
      </w:pPr>
      <w:r>
        <w:rPr>
          <w:rFonts w:ascii="Courier New" w:cs="Courier New" w:eastAsia="Courier New" w:hAnsi="Courier New"/>
          <w:sz w:val="17"/>
          <w:szCs w:val="17"/>
        </w:rPr>
        <w:t xml:space="preserve">)</w:t>
      </w:r>
    </w:p>
    <w:p>
      <w:pPr>
        <w:spacing w:after="0" w:before="120"/>
      </w:pPr>
      <w:r>
        <w:t xml:space="preserve"/>
      </w:r>
    </w:p>
    <w:p>
      <w:pPr>
        <w:pStyle w:val="Heading2"/>
        <w:spacing w:after="80" w:before="240"/>
      </w:pPr>
      <w:r>
        <w:rPr>
          <w:rFonts w:ascii="Arial" w:cs="Arial" w:eastAsia="Arial" w:hAnsi="Arial"/>
          <w:b/>
          <w:bCs/>
          <w:sz w:val="24"/>
          <w:szCs w:val="24"/>
        </w:rPr>
        <w:t xml:space="preserve">11.4 Ranking measure</w:t>
      </w:r>
    </w:p>
    <w:p>
      <w:pPr>
        <w:spacing w:after="100" w:before="60" w:line="320"/>
        <w:jc w:val="both"/>
      </w:pPr>
      <w:r>
        <w:rPr>
          <w:rFonts w:ascii="Arial" w:cs="Arial" w:eastAsia="Arial" w:hAnsi="Arial"/>
          <w:sz w:val="20"/>
          <w:szCs w:val="20"/>
        </w:rPr>
        <w:t xml:space="preserve">RANKX is used on Page 2 to rank models by reliability score. DENSE ranking is used so tied scores produce consecutive ranks rather than gaps (1,2,2,3 instead of 1,2,2,4).</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Model Rank =</w:t>
      </w:r>
    </w:p>
    <w:p>
      <w:pPr>
        <w:shd w:fill="F5F5F5" w:val="clear"/>
        <w:spacing w:after="0" w:before="0" w:line="260"/>
      </w:pPr>
      <w:r>
        <w:rPr>
          <w:rFonts w:ascii="Courier New" w:cs="Courier New" w:eastAsia="Courier New" w:hAnsi="Courier New"/>
          <w:sz w:val="17"/>
          <w:szCs w:val="17"/>
        </w:rPr>
        <w:t xml:space="preserve">IF(</w:t>
      </w:r>
    </w:p>
    <w:p>
      <w:pPr>
        <w:shd w:fill="F5F5F5" w:val="clear"/>
        <w:spacing w:after="0" w:before="0" w:line="260"/>
      </w:pPr>
      <w:r>
        <w:rPr>
          <w:rFonts w:ascii="Courier New" w:cs="Courier New" w:eastAsia="Courier New" w:hAnsi="Courier New"/>
          <w:sz w:val="17"/>
          <w:szCs w:val="17"/>
        </w:rPr>
        <w:t xml:space="preserve">    HASONEVALUE( gold_fact_vehicle_reliability[Vehicle Key] ),</w:t>
      </w:r>
    </w:p>
    <w:p>
      <w:pPr>
        <w:shd w:fill="F5F5F5" w:val="clear"/>
        <w:spacing w:after="0" w:before="0" w:line="260"/>
      </w:pPr>
      <w:r>
        <w:rPr>
          <w:rFonts w:ascii="Courier New" w:cs="Courier New" w:eastAsia="Courier New" w:hAnsi="Courier New"/>
          <w:sz w:val="17"/>
          <w:szCs w:val="17"/>
        </w:rPr>
        <w:t xml:space="preserve">    RANKX(</w:t>
      </w:r>
    </w:p>
    <w:p>
      <w:pPr>
        <w:shd w:fill="F5F5F5" w:val="clear"/>
        <w:spacing w:after="0" w:before="0" w:line="260"/>
      </w:pPr>
      <w:r>
        <w:rPr>
          <w:rFonts w:ascii="Courier New" w:cs="Courier New" w:eastAsia="Courier New" w:hAnsi="Courier New"/>
          <w:sz w:val="17"/>
          <w:szCs w:val="17"/>
        </w:rPr>
        <w:t xml:space="preserve">        ALL( gold_fact_vehicle_reliability[Vehicle Key] ),</w:t>
      </w:r>
    </w:p>
    <w:p>
      <w:pPr>
        <w:shd w:fill="F5F5F5" w:val="clear"/>
        <w:spacing w:after="0" w:before="0" w:line="260"/>
      </w:pPr>
      <w:r>
        <w:rPr>
          <w:rFonts w:ascii="Courier New" w:cs="Courier New" w:eastAsia="Courier New" w:hAnsi="Courier New"/>
          <w:sz w:val="17"/>
          <w:szCs w:val="17"/>
        </w:rPr>
        <w:t xml:space="preserve">        CALCULATE( AVERAGE( gold_fact_vehicle_reliability[reliability_score] ) ),</w:t>
      </w:r>
    </w:p>
    <w:p>
      <w:pPr>
        <w:shd w:fill="F5F5F5" w:val="clear"/>
        <w:spacing w:after="0" w:before="0" w:line="260"/>
      </w:pPr>
      <w:r>
        <w:rPr>
          <w:rFonts w:ascii="Courier New" w:cs="Courier New" w:eastAsia="Courier New" w:hAnsi="Courier New"/>
          <w:sz w:val="17"/>
          <w:szCs w:val="17"/>
        </w:rPr>
        <w:t xml:space="preserve">        , DESC, DENSE</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w:t>
      </w:r>
    </w:p>
    <w:p>
      <w:pPr>
        <w:spacing w:after="0" w:before="120"/>
      </w:pPr>
      <w:r>
        <w:t xml:space="preserve"/>
      </w:r>
    </w:p>
    <w:p>
      <w:pPr>
        <w:pStyle w:val="Heading2"/>
        <w:spacing w:after="80" w:before="240"/>
      </w:pPr>
      <w:r>
        <w:rPr>
          <w:rFonts w:ascii="Arial" w:cs="Arial" w:eastAsia="Arial" w:hAnsi="Arial"/>
          <w:b/>
          <w:bCs/>
          <w:sz w:val="24"/>
          <w:szCs w:val="24"/>
        </w:rPr>
        <w:t xml:space="preserve">11.5 Heatmap colour normalisation</w:t>
      </w:r>
    </w:p>
    <w:p>
      <w:pPr>
        <w:spacing w:after="100" w:before="60" w:line="320"/>
        <w:jc w:val="both"/>
      </w:pPr>
      <w:r>
        <w:rPr>
          <w:rFonts w:ascii="Arial" w:cs="Arial" w:eastAsia="Arial" w:hAnsi="Arial"/>
          <w:sz w:val="20"/>
          <w:szCs w:val="20"/>
        </w:rPr>
        <w:t xml:space="preserve">The failure heatmap uses failure percentage of brand total for colour encoding rather than raw count. This normalises for brand size so large brands like Chevrolet do not appear red everywhere simply because they have more vehicles in the dataset.</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Failure % of Brand Total =</w:t>
      </w:r>
    </w:p>
    <w:p>
      <w:pPr>
        <w:shd w:fill="F5F5F5" w:val="clear"/>
        <w:spacing w:after="0" w:before="0" w:line="260"/>
      </w:pPr>
      <w:r>
        <w:rPr>
          <w:rFonts w:ascii="Courier New" w:cs="Courier New" w:eastAsia="Courier New" w:hAnsi="Courier New"/>
          <w:sz w:val="17"/>
          <w:szCs w:val="17"/>
        </w:rPr>
        <w:t xml:space="preserve">VAR BrandTotal =</w:t>
      </w:r>
    </w:p>
    <w:p>
      <w:pPr>
        <w:shd w:fill="F5F5F5" w:val="clear"/>
        <w:spacing w:after="0" w:before="0" w:line="260"/>
      </w:pPr>
      <w:r>
        <w:rPr>
          <w:rFonts w:ascii="Courier New" w:cs="Courier New" w:eastAsia="Courier New" w:hAnsi="Courier New"/>
          <w:sz w:val="17"/>
          <w:szCs w:val="17"/>
        </w:rPr>
        <w:t xml:space="preserve">    CALCULATE(</w:t>
      </w:r>
    </w:p>
    <w:p>
      <w:pPr>
        <w:shd w:fill="F5F5F5" w:val="clear"/>
        <w:spacing w:after="0" w:before="0" w:line="260"/>
      </w:pPr>
      <w:r>
        <w:rPr>
          <w:rFonts w:ascii="Courier New" w:cs="Courier New" w:eastAsia="Courier New" w:hAnsi="Courier New"/>
          <w:sz w:val="17"/>
          <w:szCs w:val="17"/>
        </w:rPr>
        <w:t xml:space="preserve">        SUM( gold_dim_failure_category[failure_count] ),</w:t>
      </w:r>
    </w:p>
    <w:p>
      <w:pPr>
        <w:shd w:fill="F5F5F5" w:val="clear"/>
        <w:spacing w:after="0" w:before="0" w:line="260"/>
      </w:pPr>
      <w:r>
        <w:rPr>
          <w:rFonts w:ascii="Courier New" w:cs="Courier New" w:eastAsia="Courier New" w:hAnsi="Courier New"/>
          <w:sz w:val="17"/>
          <w:szCs w:val="17"/>
        </w:rPr>
        <w:t xml:space="preserve">        ALLEXCEPT(</w:t>
      </w:r>
    </w:p>
    <w:p>
      <w:pPr>
        <w:shd w:fill="F5F5F5" w:val="clear"/>
        <w:spacing w:after="0" w:before="0" w:line="260"/>
      </w:pPr>
      <w:r>
        <w:rPr>
          <w:rFonts w:ascii="Courier New" w:cs="Courier New" w:eastAsia="Courier New" w:hAnsi="Courier New"/>
          <w:sz w:val="17"/>
          <w:szCs w:val="17"/>
        </w:rPr>
        <w:t xml:space="preserve">            gold_dim_failure_category,</w:t>
      </w:r>
    </w:p>
    <w:p>
      <w:pPr>
        <w:shd w:fill="F5F5F5" w:val="clear"/>
        <w:spacing w:after="0" w:before="0" w:line="260"/>
      </w:pPr>
      <w:r>
        <w:rPr>
          <w:rFonts w:ascii="Courier New" w:cs="Courier New" w:eastAsia="Courier New" w:hAnsi="Courier New"/>
          <w:sz w:val="17"/>
          <w:szCs w:val="17"/>
        </w:rPr>
        <w:t xml:space="preserve">            gold_dim_failure_category[vehicle_make]</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    )</w:t>
      </w:r>
    </w:p>
    <w:p>
      <w:pPr>
        <w:shd w:fill="F5F5F5" w:val="clear"/>
        <w:spacing w:after="0" w:before="0" w:line="260"/>
      </w:pPr>
      <w:r>
        <w:rPr>
          <w:rFonts w:ascii="Courier New" w:cs="Courier New" w:eastAsia="Courier New" w:hAnsi="Courier New"/>
          <w:sz w:val="17"/>
          <w:szCs w:val="17"/>
        </w:rPr>
        <w:t xml:space="preserve">RETURN DIVIDE( SUM( gold_dim_failure_category[failure_count] ), BrandTotal, 0 )</w:t>
      </w:r>
    </w:p>
    <w:p>
      <w:pPr>
        <w:spacing w:after="0" w:before="120"/>
      </w:pPr>
      <w:r>
        <w:t xml:space="preserve"/>
      </w:r>
    </w:p>
    <w:p>
      <w:pPr>
        <w:pStyle w:val="Heading2"/>
        <w:spacing w:after="80" w:before="240"/>
      </w:pPr>
      <w:r>
        <w:rPr>
          <w:rFonts w:ascii="Arial" w:cs="Arial" w:eastAsia="Arial" w:hAnsi="Arial"/>
          <w:b/>
          <w:bCs/>
          <w:sz w:val="24"/>
          <w:szCs w:val="24"/>
        </w:rPr>
        <w:t xml:space="preserve">11.6 Profile Verdict measure</w:t>
      </w:r>
    </w:p>
    <w:p>
      <w:pPr>
        <w:spacing w:after="100" w:before="60" w:line="320"/>
        <w:jc w:val="both"/>
      </w:pPr>
      <w:r>
        <w:rPr>
          <w:rFonts w:ascii="Arial" w:cs="Arial" w:eastAsia="Arial" w:hAnsi="Arial"/>
          <w:sz w:val="20"/>
          <w:szCs w:val="20"/>
        </w:rPr>
        <w:t xml:space="preserve">The Overview page verdict generates a plain-English assessment for the selected vehicle. It builds three sentences: a score label, complaint and recall summary, and cost and fuel summary. Special cases handle Hydrogen vehicles (station availability warning) and Electric vehicles (electricity cost estimate).</w:t>
      </w:r>
    </w:p>
    <w:p>
      <w:r>
        <w:br w:type="page"/>
      </w:r>
    </w:p>
    <w:p>
      <w:pPr>
        <w:pStyle w:val="Heading1"/>
        <w:spacing w:after="120" w:before="360"/>
      </w:pPr>
      <w:r>
        <w:rPr>
          <w:rFonts w:ascii="Arial" w:cs="Arial" w:eastAsia="Arial" w:hAnsi="Arial"/>
          <w:b/>
          <w:bCs/>
          <w:sz w:val="28"/>
          <w:szCs w:val="28"/>
        </w:rPr>
        <w:t xml:space="preserve">12. Power BI — Dashboard Pages</w:t>
      </w:r>
    </w:p>
    <w:p>
      <w:pPr>
        <w:spacing w:after="100" w:before="60" w:line="320"/>
        <w:jc w:val="both"/>
      </w:pPr>
      <w:r>
        <w:rPr>
          <w:rFonts w:ascii="Arial" w:cs="Arial" w:eastAsia="Arial" w:hAnsi="Arial"/>
          <w:sz w:val="20"/>
          <w:szCs w:val="20"/>
        </w:rPr>
        <w:t xml:space="preserve">The report has five pages. Each page is designed around one anchor visual that communicates the primary insight, supported by contextual visuals that cross-filter when clicked. Colour encoding is consistent across all pages: green = reliable/safe, amber = moderate, red = high risk/avoid.</w:t>
      </w:r>
    </w:p>
    <w:p>
      <w:pPr>
        <w:spacing w:after="0" w:before="80"/>
      </w:pPr>
      <w:r>
        <w:t xml:space="preserve"/>
      </w:r>
    </w:p>
    <w:p>
      <w:pPr>
        <w:pStyle w:val="Heading2"/>
        <w:spacing w:after="80" w:before="240"/>
      </w:pPr>
      <w:r>
        <w:rPr>
          <w:rFonts w:ascii="Arial" w:cs="Arial" w:eastAsia="Arial" w:hAnsi="Arial"/>
          <w:b/>
          <w:bCs/>
          <w:sz w:val="24"/>
          <w:szCs w:val="24"/>
        </w:rPr>
        <w:t xml:space="preserve">12.1 Overview — Vehicle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Visual</w:t>
            </w:r>
          </w:p>
        </w:tc>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Key fields</w:t>
            </w:r>
          </w:p>
        </w:tc>
        <w:tc>
          <w:tcPr>
            <w:tcW w:type="dxa" w:w="41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Design decision</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3 dropdown slicers</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vehicle_make, vehicle_model, model_year</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Single-select enforced — all measures use HASONEVALUE so multiple selections return BLANK</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Vehicle image</w:t>
            </w:r>
          </w:p>
        </w:tc>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gold_dim_vehicle[url] — data category Image URL</w:t>
            </w:r>
          </w:p>
        </w:tc>
        <w:tc>
          <w:tcPr>
            <w:tcW w:type="dxa" w:w="4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Column must be set to Image URL in Column tools otherwise Power BI shows URL strings</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Score breakdown bar</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Profile Axis[metric] + [Breakdown Value]</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Disconnected axis + SWITCH — 5 dimensions as bars 0–100 where longer = better</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Verdict card</w:t>
            </w:r>
          </w:p>
        </w:tc>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[Profile Verdict]</w:t>
            </w:r>
          </w:p>
        </w:tc>
        <w:tc>
          <w:tcPr>
            <w:tcW w:type="dxa" w:w="4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3-sentence dynamic text — includes fuel context and special cases for Hydrogen and Electric</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Similar vehicles table</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[Is Similar Vehicle]=1, rank &lt;= 4</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Plus/minus 5 score and $150 cost tolerance — shows alternatives without overwhelming the buyer</w:t>
            </w:r>
          </w:p>
        </w:tc>
      </w:tr>
    </w:tbl>
    <w:p>
      <w:pPr>
        <w:spacing w:after="0" w:before="100"/>
      </w:pPr>
      <w:r>
        <w:t xml:space="preserve"/>
      </w:r>
    </w:p>
    <w:p>
      <w:pPr>
        <w:pStyle w:val="Heading2"/>
        <w:spacing w:after="80" w:before="240"/>
      </w:pPr>
      <w:r>
        <w:rPr>
          <w:rFonts w:ascii="Arial" w:cs="Arial" w:eastAsia="Arial" w:hAnsi="Arial"/>
          <w:b/>
          <w:bCs/>
          <w:sz w:val="24"/>
          <w:szCs w:val="24"/>
        </w:rPr>
        <w:t xml:space="preserve">12.2 Brand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Visual</w:t>
            </w:r>
          </w:p>
        </w:tc>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Key fields</w:t>
            </w:r>
          </w:p>
        </w:tc>
        <w:tc>
          <w:tcPr>
            <w:tcW w:type="dxa" w:w="41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Design decision</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Brand table (anchor)</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vehicle_make + [Brand Reliability Score] + [Score Tier Dot]</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Replaced logo strip slicer — more reliable cross-filter. Score dot uses pre-computed score_colour column from PySpark</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Bullet chart</w:t>
            </w:r>
          </w:p>
        </w:tc>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Radar Axis[Metric] + [Bullet Chart Value] + [Bullet Chart Avg] as line</w:t>
            </w:r>
          </w:p>
        </w:tc>
        <w:tc>
          <w:tcPr>
            <w:tcW w:type="dxa" w:w="4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Replaced radar chart — clearer than spider chart. Combo chart used because bar chart has no native reference line in Power BI</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Treemap</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vehicle_make + [Total Recalls] + score_colour CF</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Size = recall volume, colour = reliability tier. Ford dominates because 245 recalls and worst reliability score in dataset</w:t>
            </w:r>
          </w:p>
        </w:tc>
      </w:tr>
    </w:tbl>
    <w:p>
      <w:pPr>
        <w:spacing w:after="0" w:before="100"/>
      </w:pPr>
      <w:r>
        <w:t xml:space="preserve"/>
      </w:r>
    </w:p>
    <w:p>
      <w:pPr>
        <w:pStyle w:val="Heading2"/>
        <w:spacing w:after="80" w:before="240"/>
      </w:pPr>
      <w:r>
        <w:rPr>
          <w:rFonts w:ascii="Arial" w:cs="Arial" w:eastAsia="Arial" w:hAnsi="Arial"/>
          <w:b/>
          <w:bCs/>
          <w:sz w:val="24"/>
          <w:szCs w:val="24"/>
        </w:rPr>
        <w:t xml:space="preserve">12.3 Model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Visual</w:t>
            </w:r>
          </w:p>
        </w:tc>
        <w:tc>
          <w:tcPr>
            <w:tcW w:type="dxa" w:w="30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Key fields</w:t>
            </w:r>
          </w:p>
        </w:tc>
        <w:tc>
          <w:tcPr>
            <w:tcW w:type="dxa" w:w="39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Design decision</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Scatter plot (anchor)</w:t>
            </w:r>
          </w:p>
        </w:tc>
        <w:tc>
          <w:tcPr>
            <w:tcW w:type="dxa" w:w="30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X=[Annual Cost], Y=[Reliability Score], Details=Vehicle Key, Size=[Complaint Count]</w:t>
            </w:r>
          </w:p>
        </w:tc>
        <w:tc>
          <w:tcPr>
            <w:tcW w:type="dxa" w:w="39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Vehicle Key in Details well is critical — without it Power BI collapses all years of a model into one dot. Y axis min=50 set manually so dots do not cluster at the top</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Line chart</w:t>
            </w:r>
          </w:p>
        </w:tc>
        <w:tc>
          <w:tcPr>
            <w:tcW w:type="dxa" w:w="30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model_year + [Score by Year] + [Brand Avg Score by Year]</w:t>
            </w:r>
          </w:p>
        </w:tc>
        <w:tc>
          <w:tcPr>
            <w:tcW w:type="dxa" w:w="39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Solid line = selected model, dashed = brand average. Shows which year of a model is the safest buy</w:t>
            </w:r>
          </w:p>
        </w:tc>
      </w:tr>
    </w:tbl>
    <w:p>
      <w:pPr>
        <w:spacing w:after="0" w:before="100"/>
      </w:pPr>
      <w:r>
        <w:t xml:space="preserve"/>
      </w:r>
    </w:p>
    <w:p>
      <w:pPr>
        <w:pStyle w:val="Heading2"/>
        <w:spacing w:after="80" w:before="240"/>
      </w:pPr>
      <w:r>
        <w:rPr>
          <w:rFonts w:ascii="Arial" w:cs="Arial" w:eastAsia="Arial" w:hAnsi="Arial"/>
          <w:b/>
          <w:bCs/>
          <w:sz w:val="24"/>
          <w:szCs w:val="24"/>
        </w:rPr>
        <w:t xml:space="preserve">12.4 Failure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Visual</w:t>
            </w:r>
          </w:p>
        </w:tc>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Key fields</w:t>
            </w:r>
          </w:p>
        </w:tc>
        <w:tc>
          <w:tcPr>
            <w:tcW w:type="dxa" w:w="41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Design decision</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Matrix heatmap (anchor)</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Rows=vehicle_make, Cols=component_category, Values=[Failure Count], CF=[Heatmap Colour]</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Colour uses failure % of brand total — not raw count. This normalises for brand size so comparisons are fair across brands</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Failure bar chart</w:t>
            </w:r>
          </w:p>
        </w:tc>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[Selected Brand Failures]</w:t>
            </w:r>
          </w:p>
        </w:tc>
        <w:tc>
          <w:tcPr>
            <w:tcW w:type="dxa" w:w="4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Returns BLANK when no brand selected — intentional empty state that prompts the user to select from the heatmap or slicer</w:t>
            </w:r>
          </w:p>
        </w:tc>
      </w:tr>
    </w:tbl>
    <w:p>
      <w:pPr>
        <w:spacing w:after="0" w:before="100"/>
      </w:pPr>
      <w:r>
        <w:t xml:space="preserve"/>
      </w:r>
    </w:p>
    <w:p>
      <w:pPr>
        <w:pStyle w:val="Heading2"/>
        <w:spacing w:after="80" w:before="240"/>
      </w:pPr>
      <w:r>
        <w:rPr>
          <w:rFonts w:ascii="Arial" w:cs="Arial" w:eastAsia="Arial" w:hAnsi="Arial"/>
          <w:b/>
          <w:bCs/>
          <w:sz w:val="24"/>
          <w:szCs w:val="24"/>
        </w:rPr>
        <w:t xml:space="preserve">12.5 Buyer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Visual</w:t>
            </w:r>
          </w:p>
        </w:tc>
        <w:tc>
          <w:tcPr>
            <w:tcW w:type="dxa" w:w="28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Key fields</w:t>
            </w:r>
          </w:p>
        </w:tc>
        <w:tc>
          <w:tcPr>
            <w:tcW w:type="dxa" w:w="41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tcPr>
          <w:p>
            <w:r>
              <w:rPr>
                <w:rFonts w:ascii="Arial" w:cs="Arial" w:eastAsia="Arial" w:hAnsi="Arial"/>
                <w:b/>
                <w:bCs/>
                <w:sz w:val="18"/>
                <w:szCs w:val="18"/>
              </w:rPr>
              <w:t xml:space="preserve">Design decision</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Budget slicer</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Budget Buckets[budget_label]</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Disconnected table — filters applied via [Within Budget]=1 in the Filters pane. Single-select enforced</w:t>
            </w:r>
          </w:p>
        </w:tc>
      </w:tr>
      <w:tr>
        <w:tc>
          <w:tcPr>
            <w:tcW w:type="dxa" w:w="24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5-year stacked bar</w:t>
            </w:r>
          </w:p>
        </w:tc>
        <w:tc>
          <w:tcPr>
            <w:tcW w:type="dxa" w:w="280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[5 Year Repair Cost] + [5 Year Fuel Cost] stacked</w:t>
            </w:r>
          </w:p>
        </w:tc>
        <w:tc>
          <w:tcPr>
            <w:tcW w:type="dxa" w:w="4160"/>
            <w:tcBorders>
              <w:top w:val="single" w:color="AAAAAA" w:sz="4"/>
              <w:left w:val="single" w:color="AAAAAA" w:sz="4"/>
              <w:bottom w:val="single" w:color="AAAAAA" w:sz="4"/>
              <w:right w:val="single" w:color="AAAAAA" w:sz="4"/>
            </w:tcBorders>
            <w:shd w:fill="F9F9F9" w:val="clear"/>
            <w:tcMar>
              <w:top w:type="dxa" w:w="70"/>
              <w:left w:type="dxa" w:w="100"/>
              <w:bottom w:type="dxa" w:w="70"/>
              <w:right w:type="dxa" w:w="100"/>
            </w:tcMar>
          </w:tcPr>
          <w:p>
            <w:r>
              <w:rPr>
                <w:rFonts w:ascii="Arial" w:cs="Arial" w:eastAsia="Arial" w:hAnsi="Arial"/>
                <w:sz w:val="18"/>
                <w:szCs w:val="18"/>
              </w:rPr>
              <w:t xml:space="preserve">Stacked not clustered — buyer sees total and breakdown in one bar. Amber = repair, Blue = fuel</w:t>
            </w:r>
          </w:p>
        </w:tc>
      </w:tr>
      <w:tr>
        <w:tc>
          <w:tcPr>
            <w:tcW w:type="dxa" w:w="24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Avoid list table</w:t>
            </w:r>
          </w:p>
        </w:tc>
        <w:tc>
          <w:tcPr>
            <w:tcW w:type="dxa" w:w="280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[Is Avoid]=1 and [Within Budget]=1</w:t>
            </w:r>
          </w:p>
        </w:tc>
        <w:tc>
          <w:tcPr>
            <w:tcW w:type="dxa" w:w="4160"/>
            <w:tcBorders>
              <w:top w:val="single" w:color="AAAAAA" w:sz="4"/>
              <w:left w:val="single" w:color="AAAAAA" w:sz="4"/>
              <w:bottom w:val="single" w:color="AAAAAA" w:sz="4"/>
              <w:right w:val="single" w:color="AAAAAA" w:sz="4"/>
            </w:tcBorders>
            <w:shd w:fill="FFFFFF" w:val="clear"/>
            <w:tcMar>
              <w:top w:type="dxa" w:w="70"/>
              <w:left w:type="dxa" w:w="100"/>
              <w:bottom w:type="dxa" w:w="70"/>
              <w:right w:type="dxa" w:w="100"/>
            </w:tcMar>
          </w:tcPr>
          <w:p>
            <w:r>
              <w:rPr>
                <w:rFonts w:ascii="Arial" w:cs="Arial" w:eastAsia="Arial" w:hAnsi="Arial"/>
                <w:sz w:val="18"/>
                <w:szCs w:val="18"/>
              </w:rPr>
              <w:t xml:space="preserve">Vehicles scoring below 60 at the selected budget. Warns buyers off vehicles that look affordable but carry high risk</w:t>
            </w:r>
          </w:p>
        </w:tc>
      </w:tr>
    </w:tbl>
    <w:p>
      <w:r>
        <w:br w:type="page"/>
      </w:r>
    </w:p>
    <w:p>
      <w:pPr>
        <w:pStyle w:val="Heading1"/>
        <w:spacing w:after="120" w:before="360"/>
      </w:pPr>
      <w:r>
        <w:rPr>
          <w:rFonts w:ascii="Arial" w:cs="Arial" w:eastAsia="Arial" w:hAnsi="Arial"/>
          <w:b/>
          <w:bCs/>
          <w:sz w:val="28"/>
          <w:szCs w:val="28"/>
        </w:rPr>
        <w:t xml:space="preserve">13. GitHub Repository Structure</w:t>
      </w:r>
    </w:p>
    <w:p>
      <w:pPr>
        <w:spacing w:after="100" w:before="60" w:line="320"/>
        <w:jc w:val="both"/>
      </w:pPr>
      <w:r>
        <w:rPr>
          <w:rFonts w:ascii="Arial" w:cs="Arial" w:eastAsia="Arial" w:hAnsi="Arial"/>
          <w:sz w:val="20"/>
          <w:szCs w:val="20"/>
        </w:rPr>
        <w:t xml:space="preserve">The project is published publicly at github.com/Og-Kojo/autotrust-vehicle-reliability. The repository contains all notebooks, the architecture diagram, dashboard screenshots, and this documentation.</w:t>
      </w:r>
    </w:p>
    <w:p>
      <w:pPr>
        <w:spacing w:after="0" w:before="80"/>
      </w:pPr>
      <w:r>
        <w:t xml:space="preserve"/>
      </w:r>
    </w:p>
    <w:p>
      <w:pPr>
        <w:shd w:fill="F5F5F5" w:val="clear"/>
        <w:spacing w:after="0" w:before="0" w:line="260"/>
      </w:pPr>
      <w:r>
        <w:rPr>
          <w:rFonts w:ascii="Courier New" w:cs="Courier New" w:eastAsia="Courier New" w:hAnsi="Courier New"/>
          <w:sz w:val="17"/>
          <w:szCs w:val="17"/>
        </w:rPr>
        <w:t xml:space="preserve">autotrust-vehicle-reliability/</w:t>
      </w:r>
    </w:p>
    <w:p>
      <w:pPr>
        <w:shd w:fill="F5F5F5" w:val="clear"/>
        <w:spacing w:after="0" w:before="0" w:line="260"/>
      </w:pPr>
      <w:r>
        <w:rPr>
          <w:rFonts w:ascii="Courier New" w:cs="Courier New" w:eastAsia="Courier New" w:hAnsi="Courier New"/>
          <w:sz w:val="17"/>
          <w:szCs w:val="17"/>
        </w:rPr>
        <w:t xml:space="preserve">├── notebooks/</w:t>
      </w:r>
    </w:p>
    <w:p>
      <w:pPr>
        <w:shd w:fill="F5F5F5" w:val="clear"/>
        <w:spacing w:after="0" w:before="0" w:line="260"/>
      </w:pPr>
      <w:r>
        <w:rPr>
          <w:rFonts w:ascii="Courier New" w:cs="Courier New" w:eastAsia="Courier New" w:hAnsi="Courier New"/>
          <w:sz w:val="17"/>
          <w:szCs w:val="17"/>
        </w:rPr>
        <w:t xml:space="preserve">│   ├── 01_Bronze_Ingestion.ipynb        # NHTSA API + Kaggle + RepairPal</w:t>
      </w:r>
    </w:p>
    <w:p>
      <w:pPr>
        <w:shd w:fill="F5F5F5" w:val="clear"/>
        <w:spacing w:after="0" w:before="0" w:line="260"/>
      </w:pPr>
      <w:r>
        <w:rPr>
          <w:rFonts w:ascii="Courier New" w:cs="Courier New" w:eastAsia="Courier New" w:hAnsi="Courier New"/>
          <w:sz w:val="17"/>
          <w:szCs w:val="17"/>
        </w:rPr>
        <w:t xml:space="preserve">│   ├── 02_Bronze_Standardization.ipynb  # Quality checks + standardisation</w:t>
      </w:r>
    </w:p>
    <w:p>
      <w:pPr>
        <w:shd w:fill="F5F5F5" w:val="clear"/>
        <w:spacing w:after="0" w:before="0" w:line="260"/>
      </w:pPr>
      <w:r>
        <w:rPr>
          <w:rFonts w:ascii="Courier New" w:cs="Courier New" w:eastAsia="Courier New" w:hAnsi="Courier New"/>
          <w:sz w:val="17"/>
          <w:szCs w:val="17"/>
        </w:rPr>
        <w:t xml:space="preserve">│   ├── 03_Silver_Transformation.ipynb   # Cleaning + enrichment</w:t>
      </w:r>
    </w:p>
    <w:p>
      <w:pPr>
        <w:shd w:fill="F5F5F5" w:val="clear"/>
        <w:spacing w:after="0" w:before="0" w:line="260"/>
      </w:pPr>
      <w:r>
        <w:rPr>
          <w:rFonts w:ascii="Courier New" w:cs="Courier New" w:eastAsia="Courier New" w:hAnsi="Courier New"/>
          <w:sz w:val="17"/>
          <w:szCs w:val="17"/>
        </w:rPr>
        <w:t xml:space="preserve">│   ├── 04_Gold_Build.ipynb              # Scoring + star schema build</w:t>
      </w:r>
    </w:p>
    <w:p>
      <w:pPr>
        <w:shd w:fill="F5F5F5" w:val="clear"/>
        <w:spacing w:after="0" w:before="0" w:line="260"/>
      </w:pPr>
      <w:r>
        <w:rPr>
          <w:rFonts w:ascii="Courier New" w:cs="Courier New" w:eastAsia="Courier New" w:hAnsi="Courier New"/>
          <w:sz w:val="17"/>
          <w:szCs w:val="17"/>
        </w:rPr>
        <w:t xml:space="preserve">│   ├── 05_Pipeline_Monitor.ipynb        # Run log + row count checks</w:t>
      </w:r>
    </w:p>
    <w:p>
      <w:pPr>
        <w:shd w:fill="F5F5F5" w:val="clear"/>
        <w:spacing w:after="0" w:before="0" w:line="260"/>
      </w:pPr>
      <w:r>
        <w:rPr>
          <w:rFonts w:ascii="Courier New" w:cs="Courier New" w:eastAsia="Courier New" w:hAnsi="Courier New"/>
          <w:sz w:val="17"/>
          <w:szCs w:val="17"/>
        </w:rPr>
        <w:t xml:space="preserve">│   ├── 06_Bronze_Fuel_Economy.ipynb     # EPA API incremental ingestion</w:t>
      </w:r>
    </w:p>
    <w:p>
      <w:pPr>
        <w:shd w:fill="F5F5F5" w:val="clear"/>
        <w:spacing w:after="0" w:before="0" w:line="260"/>
      </w:pPr>
      <w:r>
        <w:rPr>
          <w:rFonts w:ascii="Courier New" w:cs="Courier New" w:eastAsia="Courier New" w:hAnsi="Courier New"/>
          <w:sz w:val="17"/>
          <w:szCs w:val="17"/>
        </w:rPr>
        <w:t xml:space="preserve">│   ├── 07_Silver_Fuel_Economy.ipynb     # Fuel cleaning + efficiency tiers</w:t>
      </w:r>
    </w:p>
    <w:p>
      <w:pPr>
        <w:shd w:fill="F5F5F5" w:val="clear"/>
        <w:spacing w:after="0" w:before="0" w:line="260"/>
      </w:pPr>
      <w:r>
        <w:rPr>
          <w:rFonts w:ascii="Courier New" w:cs="Courier New" w:eastAsia="Courier New" w:hAnsi="Courier New"/>
          <w:sz w:val="17"/>
          <w:szCs w:val="17"/>
        </w:rPr>
        <w:t xml:space="preserve">│   └── 08_Gold_Fuel_Economy.ipynb       # Fuel join + score rebuild</w:t>
      </w:r>
    </w:p>
    <w:p>
      <w:pPr>
        <w:shd w:fill="F5F5F5" w:val="clear"/>
        <w:spacing w:after="0" w:before="0" w:line="260"/>
      </w:pPr>
      <w:r>
        <w:rPr>
          <w:rFonts w:ascii="Courier New" w:cs="Courier New" w:eastAsia="Courier New" w:hAnsi="Courier New"/>
          <w:sz w:val="17"/>
          <w:szCs w:val="17"/>
        </w:rPr>
        <w:t xml:space="preserve">├── docs/</w:t>
      </w:r>
    </w:p>
    <w:p>
      <w:pPr>
        <w:shd w:fill="F5F5F5" w:val="clear"/>
        <w:spacing w:after="0" w:before="0" w:line="260"/>
      </w:pPr>
      <w:r>
        <w:rPr>
          <w:rFonts w:ascii="Courier New" w:cs="Courier New" w:eastAsia="Courier New" w:hAnsi="Courier New"/>
          <w:sz w:val="17"/>
          <w:szCs w:val="17"/>
        </w:rPr>
        <w:t xml:space="preserve">│   ├── architecture.svg</w:t>
      </w:r>
    </w:p>
    <w:p>
      <w:pPr>
        <w:shd w:fill="F5F5F5" w:val="clear"/>
        <w:spacing w:after="0" w:before="0" w:line="260"/>
      </w:pPr>
      <w:r>
        <w:rPr>
          <w:rFonts w:ascii="Courier New" w:cs="Courier New" w:eastAsia="Courier New" w:hAnsi="Courier New"/>
          <w:sz w:val="17"/>
          <w:szCs w:val="17"/>
        </w:rPr>
        <w:t xml:space="preserve">│   └── AutoTrust_Technical_Documentation.docx</w:t>
      </w:r>
    </w:p>
    <w:p>
      <w:pPr>
        <w:shd w:fill="F5F5F5" w:val="clear"/>
        <w:spacing w:after="0" w:before="0" w:line="260"/>
      </w:pPr>
      <w:r>
        <w:rPr>
          <w:rFonts w:ascii="Courier New" w:cs="Courier New" w:eastAsia="Courier New" w:hAnsi="Courier New"/>
          <w:sz w:val="17"/>
          <w:szCs w:val="17"/>
        </w:rPr>
        <w:t xml:space="preserve">├── screenshots/</w:t>
      </w:r>
    </w:p>
    <w:p>
      <w:pPr>
        <w:shd w:fill="F5F5F5" w:val="clear"/>
        <w:spacing w:after="0" w:before="0" w:line="260"/>
      </w:pPr>
      <w:r>
        <w:rPr>
          <w:rFonts w:ascii="Courier New" w:cs="Courier New" w:eastAsia="Courier New" w:hAnsi="Courier New"/>
          <w:sz w:val="17"/>
          <w:szCs w:val="17"/>
        </w:rPr>
        <w:t xml:space="preserve">│   ├── overview.png</w:t>
      </w:r>
    </w:p>
    <w:p>
      <w:pPr>
        <w:shd w:fill="F5F5F5" w:val="clear"/>
        <w:spacing w:after="0" w:before="0" w:line="260"/>
      </w:pPr>
      <w:r>
        <w:rPr>
          <w:rFonts w:ascii="Courier New" w:cs="Courier New" w:eastAsia="Courier New" w:hAnsi="Courier New"/>
          <w:sz w:val="17"/>
          <w:szCs w:val="17"/>
        </w:rPr>
        <w:t xml:space="preserve">│   ├── brand_reliability.png</w:t>
      </w:r>
    </w:p>
    <w:p>
      <w:pPr>
        <w:shd w:fill="F5F5F5" w:val="clear"/>
        <w:spacing w:after="0" w:before="0" w:line="260"/>
      </w:pPr>
      <w:r>
        <w:rPr>
          <w:rFonts w:ascii="Courier New" w:cs="Courier New" w:eastAsia="Courier New" w:hAnsi="Courier New"/>
          <w:sz w:val="17"/>
          <w:szCs w:val="17"/>
        </w:rPr>
        <w:t xml:space="preserve">│   ├── model_ranking.png</w:t>
      </w:r>
    </w:p>
    <w:p>
      <w:pPr>
        <w:shd w:fill="F5F5F5" w:val="clear"/>
        <w:spacing w:after="0" w:before="0" w:line="260"/>
      </w:pPr>
      <w:r>
        <w:rPr>
          <w:rFonts w:ascii="Courier New" w:cs="Courier New" w:eastAsia="Courier New" w:hAnsi="Courier New"/>
          <w:sz w:val="17"/>
          <w:szCs w:val="17"/>
        </w:rPr>
        <w:t xml:space="preserve">│   ├── failure_analysis.png</w:t>
      </w:r>
    </w:p>
    <w:p>
      <w:pPr>
        <w:shd w:fill="F5F5F5" w:val="clear"/>
        <w:spacing w:after="0" w:before="0" w:line="260"/>
      </w:pPr>
      <w:r>
        <w:rPr>
          <w:rFonts w:ascii="Courier New" w:cs="Courier New" w:eastAsia="Courier New" w:hAnsi="Courier New"/>
          <w:sz w:val="17"/>
          <w:szCs w:val="17"/>
        </w:rPr>
        <w:t xml:space="preserve">│   ├── buyer_recommendations.png</w:t>
      </w:r>
    </w:p>
    <w:p>
      <w:pPr>
        <w:shd w:fill="F5F5F5" w:val="clear"/>
        <w:spacing w:after="0" w:before="0" w:line="260"/>
      </w:pPr>
      <w:r>
        <w:rPr>
          <w:rFonts w:ascii="Courier New" w:cs="Courier New" w:eastAsia="Courier New" w:hAnsi="Courier New"/>
          <w:sz w:val="17"/>
          <w:szCs w:val="17"/>
        </w:rPr>
        <w:t xml:space="preserve">│   └── pipeline.png</w:t>
      </w:r>
    </w:p>
    <w:p>
      <w:pPr>
        <w:shd w:fill="F5F5F5" w:val="clear"/>
        <w:spacing w:after="0" w:before="0" w:line="260"/>
      </w:pPr>
      <w:r>
        <w:rPr>
          <w:rFonts w:ascii="Courier New" w:cs="Courier New" w:eastAsia="Courier New" w:hAnsi="Courier New"/>
          <w:sz w:val="17"/>
          <w:szCs w:val="17"/>
        </w:rPr>
        <w:t xml:space="preserve">└── README.md</w:t>
      </w:r>
    </w:p>
    <w:p>
      <w:pPr>
        <w:spacing w:after="0" w:before="120"/>
      </w:pPr>
      <w:r>
        <w:t xml:space="preserve"/>
      </w:r>
    </w:p>
    <w:p>
      <w:pPr>
        <w:pStyle w:val="Heading2"/>
        <w:spacing w:after="80" w:before="240"/>
      </w:pPr>
      <w:r>
        <w:rPr>
          <w:rFonts w:ascii="Arial" w:cs="Arial" w:eastAsia="Arial" w:hAnsi="Arial"/>
          <w:b/>
          <w:bCs/>
          <w:sz w:val="24"/>
          <w:szCs w:val="24"/>
        </w:rPr>
        <w:t xml:space="preserve">13.1 Notebook naming convention</w:t>
      </w:r>
    </w:p>
    <w:p>
      <w:pPr>
        <w:spacing w:after="100" w:before="60" w:line="320"/>
        <w:jc w:val="both"/>
      </w:pPr>
      <w:r>
        <w:rPr>
          <w:rFonts w:ascii="Arial" w:cs="Arial" w:eastAsia="Arial" w:hAnsi="Arial"/>
          <w:sz w:val="20"/>
          <w:szCs w:val="20"/>
        </w:rPr>
        <w:t xml:space="preserve">Notebooks are prefixed with two-digit numbers (01_, 02_, etc.) so they display in pipeline execution order on GitHub. This immediately communicates the medallion flow to anyone reading the repository without needing to read the README first.</w:t>
      </w:r>
    </w:p>
    <w:p>
      <w:pPr>
        <w:spacing w:after="0" w:before="80"/>
      </w:pPr>
      <w:r>
        <w:t xml:space="preserve"/>
      </w:r>
    </w:p>
    <w:p>
      <w:pPr>
        <w:pStyle w:val="Heading2"/>
        <w:spacing w:after="80" w:before="240"/>
      </w:pPr>
      <w:r>
        <w:rPr>
          <w:rFonts w:ascii="Arial" w:cs="Arial" w:eastAsia="Arial" w:hAnsi="Arial"/>
          <w:b/>
          <w:bCs/>
          <w:sz w:val="24"/>
          <w:szCs w:val="24"/>
        </w:rPr>
        <w:t xml:space="preserve">13.2 Repository topics</w:t>
      </w:r>
    </w:p>
    <w:p>
      <w:pPr>
        <w:spacing w:after="100" w:before="60" w:line="320"/>
        <w:jc w:val="both"/>
      </w:pPr>
      <w:r>
        <w:rPr>
          <w:rFonts w:ascii="Arial" w:cs="Arial" w:eastAsia="Arial" w:hAnsi="Arial"/>
          <w:sz w:val="20"/>
          <w:szCs w:val="20"/>
        </w:rPr>
        <w:t xml:space="preserve">The repository is tagged with: microsoft-fabric, pyspark, power-bi, delta-lake, data-engineering, medallion-architecture, python, vehicle-reliability.</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60"/>
      <w:jc w:val="center"/>
    </w:pPr>
    <w:r>
      <w:rPr>
        <w:rFonts w:ascii="Arial" w:cs="Arial" w:eastAsia="Arial" w:hAnsi="Arial"/>
        <w:sz w:val="16"/>
        <w:szCs w:val="16"/>
      </w:rPr>
      <w:t xml:space="preserve">AutoTrust — Technical Documentation  |  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2026-04-25T05:14:24.669Z</dcterms:created>
  <dcterms:modified xsi:type="dcterms:W3CDTF">2026-04-25T05:14:24.670Z</dcterms:modified>
</cp:coreProperties>
</file>

<file path=docProps/custom.xml><?xml version="1.0" encoding="utf-8"?>
<Properties xmlns="http://schemas.openxmlformats.org/officeDocument/2006/custom-properties" xmlns:vt="http://schemas.openxmlformats.org/officeDocument/2006/docPropsVTypes"/>
</file>