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222988" w14:textId="77777777" w:rsidR="00D0204B" w:rsidRPr="00D0204B" w:rsidRDefault="00D0204B" w:rsidP="00D0204B">
      <w:pPr>
        <w:rPr>
          <w:rFonts w:ascii="Arial" w:hAnsi="Arial" w:cs="Arial"/>
          <w:sz w:val="28"/>
          <w:szCs w:val="28"/>
        </w:rPr>
      </w:pPr>
      <w:r w:rsidRPr="00D0204B">
        <w:rPr>
          <w:rFonts w:ascii="Arial" w:hAnsi="Arial" w:cs="Arial"/>
          <w:b/>
          <w:bCs/>
          <w:sz w:val="28"/>
          <w:szCs w:val="28"/>
        </w:rPr>
        <w:t>Comprehensive Guyus Real Estate Analysis Report</w:t>
      </w:r>
    </w:p>
    <w:p w14:paraId="62A00E56" w14:textId="77777777" w:rsidR="00D0204B" w:rsidRPr="00D0204B" w:rsidRDefault="00D0204B" w:rsidP="00D0204B">
      <w:pPr>
        <w:rPr>
          <w:rFonts w:ascii="Arial" w:hAnsi="Arial" w:cs="Arial"/>
          <w:sz w:val="28"/>
          <w:szCs w:val="28"/>
        </w:rPr>
      </w:pPr>
      <w:r w:rsidRPr="00D0204B">
        <w:rPr>
          <w:rFonts w:ascii="Arial" w:hAnsi="Arial" w:cs="Arial"/>
          <w:sz w:val="28"/>
          <w:szCs w:val="28"/>
        </w:rPr>
        <w:pict w14:anchorId="40390274">
          <v:rect id="_x0000_i1085" style="width:0;height:1.5pt" o:hralign="center" o:hrstd="t" o:hr="t" fillcolor="#a0a0a0" stroked="f"/>
        </w:pict>
      </w:r>
    </w:p>
    <w:p w14:paraId="3152E178" w14:textId="77777777" w:rsidR="00D0204B" w:rsidRPr="00D0204B" w:rsidRDefault="00D0204B" w:rsidP="00D0204B">
      <w:pPr>
        <w:rPr>
          <w:rFonts w:ascii="Arial" w:hAnsi="Arial" w:cs="Arial"/>
          <w:b/>
          <w:bCs/>
          <w:sz w:val="28"/>
          <w:szCs w:val="28"/>
        </w:rPr>
      </w:pPr>
      <w:r w:rsidRPr="00D0204B">
        <w:rPr>
          <w:rFonts w:ascii="Arial" w:hAnsi="Arial" w:cs="Arial"/>
          <w:b/>
          <w:bCs/>
          <w:sz w:val="28"/>
          <w:szCs w:val="28"/>
        </w:rPr>
        <w:t>Executive Summary</w:t>
      </w:r>
    </w:p>
    <w:p w14:paraId="53A08578" w14:textId="77777777" w:rsidR="00D0204B" w:rsidRPr="00D0204B" w:rsidRDefault="00D0204B" w:rsidP="00D0204B">
      <w:pPr>
        <w:jc w:val="both"/>
        <w:rPr>
          <w:rFonts w:ascii="Arial" w:hAnsi="Arial" w:cs="Arial"/>
          <w:sz w:val="28"/>
          <w:szCs w:val="28"/>
        </w:rPr>
      </w:pPr>
      <w:r w:rsidRPr="00D0204B">
        <w:rPr>
          <w:rFonts w:ascii="Arial" w:hAnsi="Arial" w:cs="Arial"/>
          <w:sz w:val="28"/>
          <w:szCs w:val="28"/>
        </w:rPr>
        <w:t>The analysis of Guyus Real Estate’s performance highlights a strong market presence with $6 billion in total sales and 10,000 transactions. Texas (TX) emerges as the dominant state, significantly influencing overall revenue. High-performing agents, balanced property type contributions, and stable monthly sales trends emphasize operational efficiency and market penetration. However, states like Pennsylvania (PA) and Arizona (AZ) lag in sales, offering growth opportunities. This report provides a detailed breakdown of insights and actionable strategies to optimize performance, enhance state-level market penetration, and improve agent efficiency.</w:t>
      </w:r>
    </w:p>
    <w:p w14:paraId="502D345E" w14:textId="77777777" w:rsidR="00D0204B" w:rsidRPr="00D0204B" w:rsidRDefault="00D0204B" w:rsidP="00D0204B">
      <w:pPr>
        <w:jc w:val="both"/>
        <w:rPr>
          <w:rFonts w:ascii="Arial" w:hAnsi="Arial" w:cs="Arial"/>
          <w:sz w:val="28"/>
          <w:szCs w:val="28"/>
        </w:rPr>
      </w:pPr>
      <w:r w:rsidRPr="00D0204B">
        <w:rPr>
          <w:rFonts w:ascii="Arial" w:hAnsi="Arial" w:cs="Arial"/>
          <w:sz w:val="28"/>
          <w:szCs w:val="28"/>
        </w:rPr>
        <w:pict w14:anchorId="661FF082">
          <v:rect id="_x0000_i1086" style="width:0;height:1.5pt" o:hralign="center" o:hrstd="t" o:hr="t" fillcolor="#a0a0a0" stroked="f"/>
        </w:pict>
      </w:r>
    </w:p>
    <w:p w14:paraId="713EE9F0" w14:textId="77777777" w:rsidR="00D0204B" w:rsidRPr="00D0204B" w:rsidRDefault="00D0204B" w:rsidP="00D0204B">
      <w:pPr>
        <w:rPr>
          <w:rFonts w:ascii="Arial" w:hAnsi="Arial" w:cs="Arial"/>
          <w:b/>
          <w:bCs/>
          <w:sz w:val="28"/>
          <w:szCs w:val="28"/>
        </w:rPr>
      </w:pPr>
      <w:r w:rsidRPr="00D0204B">
        <w:rPr>
          <w:rFonts w:ascii="Arial" w:hAnsi="Arial" w:cs="Arial"/>
          <w:b/>
          <w:bCs/>
          <w:sz w:val="28"/>
          <w:szCs w:val="28"/>
        </w:rPr>
        <w:t>1. Key Performance Metrics</w:t>
      </w:r>
    </w:p>
    <w:p w14:paraId="15A19CB1" w14:textId="77777777" w:rsidR="00D0204B" w:rsidRPr="00D0204B" w:rsidRDefault="00D0204B" w:rsidP="00D0204B">
      <w:pPr>
        <w:rPr>
          <w:rFonts w:ascii="Arial" w:hAnsi="Arial" w:cs="Arial"/>
          <w:b/>
          <w:bCs/>
          <w:sz w:val="28"/>
          <w:szCs w:val="28"/>
        </w:rPr>
      </w:pPr>
      <w:r w:rsidRPr="00D0204B">
        <w:rPr>
          <w:rFonts w:ascii="Arial" w:hAnsi="Arial" w:cs="Arial"/>
          <w:b/>
          <w:bCs/>
          <w:sz w:val="28"/>
          <w:szCs w:val="28"/>
        </w:rPr>
        <w:t>Overall Performance</w:t>
      </w:r>
    </w:p>
    <w:p w14:paraId="7404F98E" w14:textId="77777777" w:rsidR="00D0204B" w:rsidRPr="00D0204B" w:rsidRDefault="00D0204B" w:rsidP="00D0204B">
      <w:pPr>
        <w:numPr>
          <w:ilvl w:val="0"/>
          <w:numId w:val="1"/>
        </w:numPr>
        <w:rPr>
          <w:rFonts w:ascii="Arial" w:hAnsi="Arial" w:cs="Arial"/>
          <w:sz w:val="28"/>
          <w:szCs w:val="28"/>
        </w:rPr>
      </w:pPr>
      <w:r w:rsidRPr="00D0204B">
        <w:rPr>
          <w:rFonts w:ascii="Arial" w:hAnsi="Arial" w:cs="Arial"/>
          <w:b/>
          <w:bCs/>
          <w:sz w:val="28"/>
          <w:szCs w:val="28"/>
        </w:rPr>
        <w:t>Total Sales</w:t>
      </w:r>
      <w:r w:rsidRPr="00D0204B">
        <w:rPr>
          <w:rFonts w:ascii="Arial" w:hAnsi="Arial" w:cs="Arial"/>
          <w:sz w:val="28"/>
          <w:szCs w:val="28"/>
        </w:rPr>
        <w:t>: $6 billion.</w:t>
      </w:r>
    </w:p>
    <w:p w14:paraId="7DE6B2D2" w14:textId="77777777" w:rsidR="00D0204B" w:rsidRPr="00D0204B" w:rsidRDefault="00D0204B" w:rsidP="00D0204B">
      <w:pPr>
        <w:numPr>
          <w:ilvl w:val="0"/>
          <w:numId w:val="1"/>
        </w:numPr>
        <w:rPr>
          <w:rFonts w:ascii="Arial" w:hAnsi="Arial" w:cs="Arial"/>
          <w:sz w:val="28"/>
          <w:szCs w:val="28"/>
        </w:rPr>
      </w:pPr>
      <w:r w:rsidRPr="00D0204B">
        <w:rPr>
          <w:rFonts w:ascii="Arial" w:hAnsi="Arial" w:cs="Arial"/>
          <w:b/>
          <w:bCs/>
          <w:sz w:val="28"/>
          <w:szCs w:val="28"/>
        </w:rPr>
        <w:t>Number of Transactions</w:t>
      </w:r>
      <w:r w:rsidRPr="00D0204B">
        <w:rPr>
          <w:rFonts w:ascii="Arial" w:hAnsi="Arial" w:cs="Arial"/>
          <w:sz w:val="28"/>
          <w:szCs w:val="28"/>
        </w:rPr>
        <w:t>: 10,000.</w:t>
      </w:r>
    </w:p>
    <w:p w14:paraId="16671468" w14:textId="77777777" w:rsidR="00D0204B" w:rsidRPr="00D0204B" w:rsidRDefault="00D0204B" w:rsidP="00D0204B">
      <w:pPr>
        <w:numPr>
          <w:ilvl w:val="0"/>
          <w:numId w:val="1"/>
        </w:numPr>
        <w:rPr>
          <w:rFonts w:ascii="Arial" w:hAnsi="Arial" w:cs="Arial"/>
          <w:sz w:val="28"/>
          <w:szCs w:val="28"/>
        </w:rPr>
      </w:pPr>
      <w:r w:rsidRPr="00D0204B">
        <w:rPr>
          <w:rFonts w:ascii="Arial" w:hAnsi="Arial" w:cs="Arial"/>
          <w:b/>
          <w:bCs/>
          <w:sz w:val="28"/>
          <w:szCs w:val="28"/>
        </w:rPr>
        <w:t>Average Sale Price</w:t>
      </w:r>
      <w:r w:rsidRPr="00D0204B">
        <w:rPr>
          <w:rFonts w:ascii="Arial" w:hAnsi="Arial" w:cs="Arial"/>
          <w:sz w:val="28"/>
          <w:szCs w:val="28"/>
        </w:rPr>
        <w:t>: $552,000.</w:t>
      </w:r>
    </w:p>
    <w:p w14:paraId="0B86A5D6" w14:textId="77777777" w:rsidR="00D0204B" w:rsidRPr="00D0204B" w:rsidRDefault="00D0204B" w:rsidP="00D0204B">
      <w:pPr>
        <w:numPr>
          <w:ilvl w:val="0"/>
          <w:numId w:val="1"/>
        </w:numPr>
        <w:rPr>
          <w:rFonts w:ascii="Arial" w:hAnsi="Arial" w:cs="Arial"/>
          <w:sz w:val="28"/>
          <w:szCs w:val="28"/>
        </w:rPr>
      </w:pPr>
      <w:r w:rsidRPr="00D0204B">
        <w:rPr>
          <w:rFonts w:ascii="Arial" w:hAnsi="Arial" w:cs="Arial"/>
          <w:b/>
          <w:bCs/>
          <w:sz w:val="28"/>
          <w:szCs w:val="28"/>
        </w:rPr>
        <w:t>Max Sale Price</w:t>
      </w:r>
      <w:r w:rsidRPr="00D0204B">
        <w:rPr>
          <w:rFonts w:ascii="Arial" w:hAnsi="Arial" w:cs="Arial"/>
          <w:sz w:val="28"/>
          <w:szCs w:val="28"/>
        </w:rPr>
        <w:t>: $1 million.</w:t>
      </w:r>
    </w:p>
    <w:p w14:paraId="4794C43B" w14:textId="77777777" w:rsidR="00D0204B" w:rsidRPr="00D0204B" w:rsidRDefault="00D0204B" w:rsidP="00D0204B">
      <w:pPr>
        <w:rPr>
          <w:rFonts w:ascii="Arial" w:hAnsi="Arial" w:cs="Arial"/>
          <w:sz w:val="28"/>
          <w:szCs w:val="28"/>
        </w:rPr>
      </w:pPr>
      <w:r w:rsidRPr="00D0204B">
        <w:rPr>
          <w:rFonts w:ascii="Arial" w:hAnsi="Arial" w:cs="Arial"/>
          <w:sz w:val="28"/>
          <w:szCs w:val="28"/>
        </w:rPr>
        <w:t>Guyus Real Estate demonstrates strong sales activity with a balanced portfolio, targeting a mid-to-high market segment.</w:t>
      </w:r>
    </w:p>
    <w:p w14:paraId="3138DBD5" w14:textId="77777777" w:rsidR="00D0204B" w:rsidRPr="00D0204B" w:rsidRDefault="00D0204B" w:rsidP="00D0204B">
      <w:pPr>
        <w:rPr>
          <w:rFonts w:ascii="Arial" w:hAnsi="Arial" w:cs="Arial"/>
          <w:b/>
          <w:bCs/>
          <w:sz w:val="28"/>
          <w:szCs w:val="28"/>
        </w:rPr>
      </w:pPr>
      <w:r w:rsidRPr="00D0204B">
        <w:rPr>
          <w:rFonts w:ascii="Arial" w:hAnsi="Arial" w:cs="Arial"/>
          <w:b/>
          <w:bCs/>
          <w:sz w:val="28"/>
          <w:szCs w:val="28"/>
        </w:rPr>
        <w:t>Actionable Insights:</w:t>
      </w:r>
    </w:p>
    <w:p w14:paraId="6D565065" w14:textId="77777777" w:rsidR="00D0204B" w:rsidRPr="00D0204B" w:rsidRDefault="00D0204B" w:rsidP="00D0204B">
      <w:pPr>
        <w:numPr>
          <w:ilvl w:val="0"/>
          <w:numId w:val="2"/>
        </w:numPr>
        <w:rPr>
          <w:rFonts w:ascii="Arial" w:hAnsi="Arial" w:cs="Arial"/>
          <w:sz w:val="28"/>
          <w:szCs w:val="28"/>
        </w:rPr>
      </w:pPr>
      <w:r w:rsidRPr="00D0204B">
        <w:rPr>
          <w:rFonts w:ascii="Arial" w:hAnsi="Arial" w:cs="Arial"/>
          <w:b/>
          <w:bCs/>
          <w:sz w:val="28"/>
          <w:szCs w:val="28"/>
        </w:rPr>
        <w:t>High-Value Sales Strategy</w:t>
      </w:r>
      <w:r w:rsidRPr="00D0204B">
        <w:rPr>
          <w:rFonts w:ascii="Arial" w:hAnsi="Arial" w:cs="Arial"/>
          <w:sz w:val="28"/>
          <w:szCs w:val="28"/>
        </w:rPr>
        <w:t>:</w:t>
      </w:r>
    </w:p>
    <w:p w14:paraId="2357209D" w14:textId="77777777" w:rsidR="00D0204B" w:rsidRPr="00D0204B" w:rsidRDefault="00D0204B" w:rsidP="00D0204B">
      <w:pPr>
        <w:numPr>
          <w:ilvl w:val="1"/>
          <w:numId w:val="2"/>
        </w:numPr>
        <w:rPr>
          <w:rFonts w:ascii="Arial" w:hAnsi="Arial" w:cs="Arial"/>
          <w:sz w:val="28"/>
          <w:szCs w:val="28"/>
        </w:rPr>
      </w:pPr>
      <w:r w:rsidRPr="00D0204B">
        <w:rPr>
          <w:rFonts w:ascii="Arial" w:hAnsi="Arial" w:cs="Arial"/>
          <w:sz w:val="28"/>
          <w:szCs w:val="28"/>
        </w:rPr>
        <w:t>Focus on increasing average sale prices by targeting premium properties.</w:t>
      </w:r>
    </w:p>
    <w:p w14:paraId="608AEC7E" w14:textId="77777777" w:rsidR="00D0204B" w:rsidRPr="00D0204B" w:rsidRDefault="00D0204B" w:rsidP="00D0204B">
      <w:pPr>
        <w:numPr>
          <w:ilvl w:val="1"/>
          <w:numId w:val="2"/>
        </w:numPr>
        <w:rPr>
          <w:rFonts w:ascii="Arial" w:hAnsi="Arial" w:cs="Arial"/>
          <w:sz w:val="28"/>
          <w:szCs w:val="28"/>
        </w:rPr>
      </w:pPr>
      <w:r w:rsidRPr="00D0204B">
        <w:rPr>
          <w:rFonts w:ascii="Arial" w:hAnsi="Arial" w:cs="Arial"/>
          <w:sz w:val="28"/>
          <w:szCs w:val="28"/>
        </w:rPr>
        <w:t>Promote luxury and high-value listings to boost revenue per transaction.</w:t>
      </w:r>
    </w:p>
    <w:p w14:paraId="4C9F8639" w14:textId="77777777" w:rsidR="00D0204B" w:rsidRPr="00D0204B" w:rsidRDefault="00D0204B" w:rsidP="00D0204B">
      <w:pPr>
        <w:numPr>
          <w:ilvl w:val="0"/>
          <w:numId w:val="2"/>
        </w:numPr>
        <w:rPr>
          <w:rFonts w:ascii="Arial" w:hAnsi="Arial" w:cs="Arial"/>
          <w:sz w:val="28"/>
          <w:szCs w:val="28"/>
        </w:rPr>
      </w:pPr>
      <w:r w:rsidRPr="00D0204B">
        <w:rPr>
          <w:rFonts w:ascii="Arial" w:hAnsi="Arial" w:cs="Arial"/>
          <w:b/>
          <w:bCs/>
          <w:sz w:val="28"/>
          <w:szCs w:val="28"/>
        </w:rPr>
        <w:t>Transaction Volume Efficiency</w:t>
      </w:r>
      <w:r w:rsidRPr="00D0204B">
        <w:rPr>
          <w:rFonts w:ascii="Arial" w:hAnsi="Arial" w:cs="Arial"/>
          <w:sz w:val="28"/>
          <w:szCs w:val="28"/>
        </w:rPr>
        <w:t>:</w:t>
      </w:r>
    </w:p>
    <w:p w14:paraId="1EED1A7E" w14:textId="77777777" w:rsidR="00D0204B" w:rsidRPr="00D0204B" w:rsidRDefault="00D0204B" w:rsidP="00D0204B">
      <w:pPr>
        <w:numPr>
          <w:ilvl w:val="1"/>
          <w:numId w:val="2"/>
        </w:numPr>
        <w:rPr>
          <w:rFonts w:ascii="Arial" w:hAnsi="Arial" w:cs="Arial"/>
          <w:sz w:val="28"/>
          <w:szCs w:val="28"/>
        </w:rPr>
      </w:pPr>
      <w:r w:rsidRPr="00D0204B">
        <w:rPr>
          <w:rFonts w:ascii="Arial" w:hAnsi="Arial" w:cs="Arial"/>
          <w:sz w:val="28"/>
          <w:szCs w:val="28"/>
        </w:rPr>
        <w:lastRenderedPageBreak/>
        <w:t>Identify and streamline processes for high-frequency transactions to sustain efficiency and reduce operational costs.</w:t>
      </w:r>
    </w:p>
    <w:p w14:paraId="091E08D4" w14:textId="77777777" w:rsidR="00D0204B" w:rsidRPr="00D0204B" w:rsidRDefault="00D0204B" w:rsidP="00D0204B">
      <w:pPr>
        <w:rPr>
          <w:rFonts w:ascii="Arial" w:hAnsi="Arial" w:cs="Arial"/>
          <w:sz w:val="28"/>
          <w:szCs w:val="28"/>
        </w:rPr>
      </w:pPr>
      <w:r w:rsidRPr="00D0204B">
        <w:rPr>
          <w:rFonts w:ascii="Arial" w:hAnsi="Arial" w:cs="Arial"/>
          <w:sz w:val="28"/>
          <w:szCs w:val="28"/>
        </w:rPr>
        <w:pict w14:anchorId="725A994B">
          <v:rect id="_x0000_i1087" style="width:0;height:1.5pt" o:hralign="center" o:hrstd="t" o:hr="t" fillcolor="#a0a0a0" stroked="f"/>
        </w:pict>
      </w:r>
    </w:p>
    <w:p w14:paraId="60455134" w14:textId="77777777" w:rsidR="00D0204B" w:rsidRPr="00D0204B" w:rsidRDefault="00D0204B" w:rsidP="00D0204B">
      <w:pPr>
        <w:rPr>
          <w:rFonts w:ascii="Arial" w:hAnsi="Arial" w:cs="Arial"/>
          <w:b/>
          <w:bCs/>
          <w:sz w:val="28"/>
          <w:szCs w:val="28"/>
        </w:rPr>
      </w:pPr>
      <w:r w:rsidRPr="00D0204B">
        <w:rPr>
          <w:rFonts w:ascii="Arial" w:hAnsi="Arial" w:cs="Arial"/>
          <w:b/>
          <w:bCs/>
          <w:sz w:val="28"/>
          <w:szCs w:val="28"/>
        </w:rPr>
        <w:t>2. State-Level Insights</w:t>
      </w:r>
    </w:p>
    <w:p w14:paraId="5E492DD4" w14:textId="77777777" w:rsidR="00D0204B" w:rsidRPr="00D0204B" w:rsidRDefault="00D0204B" w:rsidP="00D0204B">
      <w:pPr>
        <w:rPr>
          <w:rFonts w:ascii="Arial" w:hAnsi="Arial" w:cs="Arial"/>
          <w:b/>
          <w:bCs/>
          <w:sz w:val="28"/>
          <w:szCs w:val="28"/>
        </w:rPr>
      </w:pPr>
      <w:r w:rsidRPr="00D0204B">
        <w:rPr>
          <w:rFonts w:ascii="Arial" w:hAnsi="Arial" w:cs="Arial"/>
          <w:b/>
          <w:bCs/>
          <w:sz w:val="28"/>
          <w:szCs w:val="28"/>
        </w:rPr>
        <w:t>Top Performing State: Texas (TX)</w:t>
      </w:r>
    </w:p>
    <w:p w14:paraId="386FF41C" w14:textId="77777777" w:rsidR="00D0204B" w:rsidRPr="00D0204B" w:rsidRDefault="00D0204B" w:rsidP="00D0204B">
      <w:pPr>
        <w:numPr>
          <w:ilvl w:val="0"/>
          <w:numId w:val="3"/>
        </w:numPr>
        <w:rPr>
          <w:rFonts w:ascii="Arial" w:hAnsi="Arial" w:cs="Arial"/>
          <w:sz w:val="28"/>
          <w:szCs w:val="28"/>
        </w:rPr>
      </w:pPr>
      <w:r w:rsidRPr="00D0204B">
        <w:rPr>
          <w:rFonts w:ascii="Arial" w:hAnsi="Arial" w:cs="Arial"/>
          <w:b/>
          <w:bCs/>
          <w:sz w:val="28"/>
          <w:szCs w:val="28"/>
        </w:rPr>
        <w:t>Impact</w:t>
      </w:r>
      <w:r w:rsidRPr="00D0204B">
        <w:rPr>
          <w:rFonts w:ascii="Arial" w:hAnsi="Arial" w:cs="Arial"/>
          <w:sz w:val="28"/>
          <w:szCs w:val="28"/>
        </w:rPr>
        <w:t>: Properties in Texas significantly increase average total sales by $5.4M compared to other states.</w:t>
      </w:r>
    </w:p>
    <w:p w14:paraId="39F4A4B3" w14:textId="77777777" w:rsidR="00D0204B" w:rsidRPr="00D0204B" w:rsidRDefault="00D0204B" w:rsidP="00D0204B">
      <w:pPr>
        <w:numPr>
          <w:ilvl w:val="0"/>
          <w:numId w:val="3"/>
        </w:numPr>
        <w:rPr>
          <w:rFonts w:ascii="Arial" w:hAnsi="Arial" w:cs="Arial"/>
          <w:sz w:val="28"/>
          <w:szCs w:val="28"/>
        </w:rPr>
      </w:pPr>
      <w:r w:rsidRPr="00D0204B">
        <w:rPr>
          <w:rFonts w:ascii="Arial" w:hAnsi="Arial" w:cs="Arial"/>
          <w:b/>
          <w:bCs/>
          <w:sz w:val="28"/>
          <w:szCs w:val="28"/>
        </w:rPr>
        <w:t>Key Contribution</w:t>
      </w:r>
      <w:r w:rsidRPr="00D0204B">
        <w:rPr>
          <w:rFonts w:ascii="Arial" w:hAnsi="Arial" w:cs="Arial"/>
          <w:sz w:val="28"/>
          <w:szCs w:val="28"/>
        </w:rPr>
        <w:t>: TX leads in average sales, driven by strong demand for Land and Commercial properties.</w:t>
      </w:r>
    </w:p>
    <w:p w14:paraId="795F2849" w14:textId="77777777" w:rsidR="00D0204B" w:rsidRPr="00D0204B" w:rsidRDefault="00D0204B" w:rsidP="00D0204B">
      <w:pPr>
        <w:rPr>
          <w:rFonts w:ascii="Arial" w:hAnsi="Arial" w:cs="Arial"/>
          <w:b/>
          <w:bCs/>
          <w:sz w:val="28"/>
          <w:szCs w:val="28"/>
        </w:rPr>
      </w:pPr>
      <w:r w:rsidRPr="00D0204B">
        <w:rPr>
          <w:rFonts w:ascii="Arial" w:hAnsi="Arial" w:cs="Arial"/>
          <w:b/>
          <w:bCs/>
          <w:sz w:val="28"/>
          <w:szCs w:val="28"/>
        </w:rPr>
        <w:t>Mid-Tier States</w:t>
      </w:r>
    </w:p>
    <w:p w14:paraId="529980BD" w14:textId="77777777" w:rsidR="00D0204B" w:rsidRPr="00D0204B" w:rsidRDefault="00D0204B" w:rsidP="00D0204B">
      <w:pPr>
        <w:numPr>
          <w:ilvl w:val="0"/>
          <w:numId w:val="4"/>
        </w:numPr>
        <w:rPr>
          <w:rFonts w:ascii="Arial" w:hAnsi="Arial" w:cs="Arial"/>
          <w:sz w:val="28"/>
          <w:szCs w:val="28"/>
        </w:rPr>
      </w:pPr>
      <w:r w:rsidRPr="00D0204B">
        <w:rPr>
          <w:rFonts w:ascii="Arial" w:hAnsi="Arial" w:cs="Arial"/>
          <w:b/>
          <w:bCs/>
          <w:sz w:val="28"/>
          <w:szCs w:val="28"/>
        </w:rPr>
        <w:t>California (CA)</w:t>
      </w:r>
      <w:r w:rsidRPr="00D0204B">
        <w:rPr>
          <w:rFonts w:ascii="Arial" w:hAnsi="Arial" w:cs="Arial"/>
          <w:sz w:val="28"/>
          <w:szCs w:val="28"/>
        </w:rPr>
        <w:t>: High potential, performing just below Texas. Likely driven by Residential and Commercial property demand.</w:t>
      </w:r>
    </w:p>
    <w:p w14:paraId="65ECB530" w14:textId="77777777" w:rsidR="00D0204B" w:rsidRPr="00D0204B" w:rsidRDefault="00D0204B" w:rsidP="00D0204B">
      <w:pPr>
        <w:numPr>
          <w:ilvl w:val="0"/>
          <w:numId w:val="4"/>
        </w:numPr>
        <w:rPr>
          <w:rFonts w:ascii="Arial" w:hAnsi="Arial" w:cs="Arial"/>
          <w:sz w:val="28"/>
          <w:szCs w:val="28"/>
        </w:rPr>
      </w:pPr>
      <w:r w:rsidRPr="00D0204B">
        <w:rPr>
          <w:rFonts w:ascii="Arial" w:hAnsi="Arial" w:cs="Arial"/>
          <w:b/>
          <w:bCs/>
          <w:sz w:val="28"/>
          <w:szCs w:val="28"/>
        </w:rPr>
        <w:t>New York (NY)</w:t>
      </w:r>
      <w:r w:rsidRPr="00D0204B">
        <w:rPr>
          <w:rFonts w:ascii="Arial" w:hAnsi="Arial" w:cs="Arial"/>
          <w:sz w:val="28"/>
          <w:szCs w:val="28"/>
        </w:rPr>
        <w:t>: Consistent performance but lags behind TX and CA.</w:t>
      </w:r>
    </w:p>
    <w:p w14:paraId="44EFED2C" w14:textId="77777777" w:rsidR="00D0204B" w:rsidRPr="00D0204B" w:rsidRDefault="00D0204B" w:rsidP="00D0204B">
      <w:pPr>
        <w:rPr>
          <w:rFonts w:ascii="Arial" w:hAnsi="Arial" w:cs="Arial"/>
          <w:b/>
          <w:bCs/>
          <w:sz w:val="28"/>
          <w:szCs w:val="28"/>
        </w:rPr>
      </w:pPr>
      <w:r w:rsidRPr="00D0204B">
        <w:rPr>
          <w:rFonts w:ascii="Arial" w:hAnsi="Arial" w:cs="Arial"/>
          <w:b/>
          <w:bCs/>
          <w:sz w:val="28"/>
          <w:szCs w:val="28"/>
        </w:rPr>
        <w:t>Underperforming States</w:t>
      </w:r>
    </w:p>
    <w:p w14:paraId="436A78B1" w14:textId="77777777" w:rsidR="00D0204B" w:rsidRPr="00D0204B" w:rsidRDefault="00D0204B" w:rsidP="00D0204B">
      <w:pPr>
        <w:numPr>
          <w:ilvl w:val="0"/>
          <w:numId w:val="5"/>
        </w:numPr>
        <w:rPr>
          <w:rFonts w:ascii="Arial" w:hAnsi="Arial" w:cs="Arial"/>
          <w:sz w:val="28"/>
          <w:szCs w:val="28"/>
        </w:rPr>
      </w:pPr>
      <w:r w:rsidRPr="00D0204B">
        <w:rPr>
          <w:rFonts w:ascii="Arial" w:hAnsi="Arial" w:cs="Arial"/>
          <w:b/>
          <w:bCs/>
          <w:sz w:val="28"/>
          <w:szCs w:val="28"/>
        </w:rPr>
        <w:t>Pennsylvania (PA)</w:t>
      </w:r>
      <w:r w:rsidRPr="00D0204B">
        <w:rPr>
          <w:rFonts w:ascii="Arial" w:hAnsi="Arial" w:cs="Arial"/>
          <w:sz w:val="28"/>
          <w:szCs w:val="28"/>
        </w:rPr>
        <w:t xml:space="preserve"> and </w:t>
      </w:r>
      <w:r w:rsidRPr="00D0204B">
        <w:rPr>
          <w:rFonts w:ascii="Arial" w:hAnsi="Arial" w:cs="Arial"/>
          <w:b/>
          <w:bCs/>
          <w:sz w:val="28"/>
          <w:szCs w:val="28"/>
        </w:rPr>
        <w:t>Arizona (AZ)</w:t>
      </w:r>
      <w:r w:rsidRPr="00D0204B">
        <w:rPr>
          <w:rFonts w:ascii="Arial" w:hAnsi="Arial" w:cs="Arial"/>
          <w:sz w:val="28"/>
          <w:szCs w:val="28"/>
        </w:rPr>
        <w:t>: Lower average sales suggest untapped market potential or limited demand.</w:t>
      </w:r>
    </w:p>
    <w:p w14:paraId="66A4F19E" w14:textId="77777777" w:rsidR="00D0204B" w:rsidRPr="00D0204B" w:rsidRDefault="00D0204B" w:rsidP="00D0204B">
      <w:pPr>
        <w:rPr>
          <w:rFonts w:ascii="Arial" w:hAnsi="Arial" w:cs="Arial"/>
          <w:b/>
          <w:bCs/>
          <w:sz w:val="28"/>
          <w:szCs w:val="28"/>
        </w:rPr>
      </w:pPr>
      <w:r w:rsidRPr="00D0204B">
        <w:rPr>
          <w:rFonts w:ascii="Arial" w:hAnsi="Arial" w:cs="Arial"/>
          <w:b/>
          <w:bCs/>
          <w:sz w:val="28"/>
          <w:szCs w:val="28"/>
        </w:rPr>
        <w:t>Actionable Insights:</w:t>
      </w:r>
    </w:p>
    <w:p w14:paraId="60D63A00" w14:textId="77777777" w:rsidR="00D0204B" w:rsidRPr="00D0204B" w:rsidRDefault="00D0204B" w:rsidP="00D0204B">
      <w:pPr>
        <w:numPr>
          <w:ilvl w:val="0"/>
          <w:numId w:val="6"/>
        </w:numPr>
        <w:rPr>
          <w:rFonts w:ascii="Arial" w:hAnsi="Arial" w:cs="Arial"/>
          <w:sz w:val="28"/>
          <w:szCs w:val="28"/>
        </w:rPr>
      </w:pPr>
      <w:r w:rsidRPr="00D0204B">
        <w:rPr>
          <w:rFonts w:ascii="Arial" w:hAnsi="Arial" w:cs="Arial"/>
          <w:b/>
          <w:bCs/>
          <w:sz w:val="28"/>
          <w:szCs w:val="28"/>
        </w:rPr>
        <w:t>Maximize Texas Opportunities</w:t>
      </w:r>
      <w:r w:rsidRPr="00D0204B">
        <w:rPr>
          <w:rFonts w:ascii="Arial" w:hAnsi="Arial" w:cs="Arial"/>
          <w:sz w:val="28"/>
          <w:szCs w:val="28"/>
        </w:rPr>
        <w:t>:</w:t>
      </w:r>
    </w:p>
    <w:p w14:paraId="157BF8A8" w14:textId="77777777" w:rsidR="00D0204B" w:rsidRPr="00D0204B" w:rsidRDefault="00D0204B" w:rsidP="00D0204B">
      <w:pPr>
        <w:numPr>
          <w:ilvl w:val="1"/>
          <w:numId w:val="6"/>
        </w:numPr>
        <w:rPr>
          <w:rFonts w:ascii="Arial" w:hAnsi="Arial" w:cs="Arial"/>
          <w:sz w:val="28"/>
          <w:szCs w:val="28"/>
        </w:rPr>
      </w:pPr>
      <w:r w:rsidRPr="00D0204B">
        <w:rPr>
          <w:rFonts w:ascii="Arial" w:hAnsi="Arial" w:cs="Arial"/>
          <w:sz w:val="28"/>
          <w:szCs w:val="28"/>
        </w:rPr>
        <w:t>Allocate more resources and marketing efforts to capitalize on the TX market dominance.</w:t>
      </w:r>
    </w:p>
    <w:p w14:paraId="4FFEF2A9" w14:textId="77777777" w:rsidR="00D0204B" w:rsidRPr="00D0204B" w:rsidRDefault="00D0204B" w:rsidP="00D0204B">
      <w:pPr>
        <w:numPr>
          <w:ilvl w:val="1"/>
          <w:numId w:val="6"/>
        </w:numPr>
        <w:rPr>
          <w:rFonts w:ascii="Arial" w:hAnsi="Arial" w:cs="Arial"/>
          <w:sz w:val="28"/>
          <w:szCs w:val="28"/>
        </w:rPr>
      </w:pPr>
      <w:r w:rsidRPr="00D0204B">
        <w:rPr>
          <w:rFonts w:ascii="Arial" w:hAnsi="Arial" w:cs="Arial"/>
          <w:sz w:val="28"/>
          <w:szCs w:val="28"/>
        </w:rPr>
        <w:t>Explore partnerships with local developers for Land and Commercial property deals.</w:t>
      </w:r>
    </w:p>
    <w:p w14:paraId="02B02EFD" w14:textId="77777777" w:rsidR="00D0204B" w:rsidRPr="00D0204B" w:rsidRDefault="00D0204B" w:rsidP="00D0204B">
      <w:pPr>
        <w:numPr>
          <w:ilvl w:val="0"/>
          <w:numId w:val="6"/>
        </w:numPr>
        <w:rPr>
          <w:rFonts w:ascii="Arial" w:hAnsi="Arial" w:cs="Arial"/>
          <w:sz w:val="28"/>
          <w:szCs w:val="28"/>
        </w:rPr>
      </w:pPr>
      <w:r w:rsidRPr="00D0204B">
        <w:rPr>
          <w:rFonts w:ascii="Arial" w:hAnsi="Arial" w:cs="Arial"/>
          <w:b/>
          <w:bCs/>
          <w:sz w:val="28"/>
          <w:szCs w:val="28"/>
        </w:rPr>
        <w:t>Revitalize Underperforming States</w:t>
      </w:r>
      <w:r w:rsidRPr="00D0204B">
        <w:rPr>
          <w:rFonts w:ascii="Arial" w:hAnsi="Arial" w:cs="Arial"/>
          <w:sz w:val="28"/>
          <w:szCs w:val="28"/>
        </w:rPr>
        <w:t>:</w:t>
      </w:r>
    </w:p>
    <w:p w14:paraId="3C076179" w14:textId="77777777" w:rsidR="00D0204B" w:rsidRPr="00D0204B" w:rsidRDefault="00D0204B" w:rsidP="00D0204B">
      <w:pPr>
        <w:numPr>
          <w:ilvl w:val="1"/>
          <w:numId w:val="6"/>
        </w:numPr>
        <w:rPr>
          <w:rFonts w:ascii="Arial" w:hAnsi="Arial" w:cs="Arial"/>
          <w:sz w:val="28"/>
          <w:szCs w:val="28"/>
        </w:rPr>
      </w:pPr>
      <w:r w:rsidRPr="00D0204B">
        <w:rPr>
          <w:rFonts w:ascii="Arial" w:hAnsi="Arial" w:cs="Arial"/>
          <w:sz w:val="28"/>
          <w:szCs w:val="28"/>
        </w:rPr>
        <w:t>Conduct market research in PA and AZ to identify buyer barriers (e.g., pricing, inventory, marketing gaps).</w:t>
      </w:r>
    </w:p>
    <w:p w14:paraId="02333654" w14:textId="77777777" w:rsidR="00D0204B" w:rsidRPr="00D0204B" w:rsidRDefault="00D0204B" w:rsidP="00D0204B">
      <w:pPr>
        <w:numPr>
          <w:ilvl w:val="1"/>
          <w:numId w:val="6"/>
        </w:numPr>
        <w:rPr>
          <w:rFonts w:ascii="Arial" w:hAnsi="Arial" w:cs="Arial"/>
          <w:sz w:val="28"/>
          <w:szCs w:val="28"/>
        </w:rPr>
      </w:pPr>
      <w:r w:rsidRPr="00D0204B">
        <w:rPr>
          <w:rFonts w:ascii="Arial" w:hAnsi="Arial" w:cs="Arial"/>
          <w:sz w:val="28"/>
          <w:szCs w:val="28"/>
        </w:rPr>
        <w:t>Launch state-specific campaigns to boost visibility and attract buyers.</w:t>
      </w:r>
    </w:p>
    <w:p w14:paraId="01B7F70E" w14:textId="77777777" w:rsidR="00D0204B" w:rsidRPr="00D0204B" w:rsidRDefault="00D0204B" w:rsidP="00D0204B">
      <w:pPr>
        <w:numPr>
          <w:ilvl w:val="0"/>
          <w:numId w:val="6"/>
        </w:numPr>
        <w:rPr>
          <w:rFonts w:ascii="Arial" w:hAnsi="Arial" w:cs="Arial"/>
          <w:sz w:val="28"/>
          <w:szCs w:val="28"/>
        </w:rPr>
      </w:pPr>
      <w:r w:rsidRPr="00D0204B">
        <w:rPr>
          <w:rFonts w:ascii="Arial" w:hAnsi="Arial" w:cs="Arial"/>
          <w:b/>
          <w:bCs/>
          <w:sz w:val="28"/>
          <w:szCs w:val="28"/>
        </w:rPr>
        <w:t>Leverage California and New York</w:t>
      </w:r>
      <w:r w:rsidRPr="00D0204B">
        <w:rPr>
          <w:rFonts w:ascii="Arial" w:hAnsi="Arial" w:cs="Arial"/>
          <w:sz w:val="28"/>
          <w:szCs w:val="28"/>
        </w:rPr>
        <w:t>:</w:t>
      </w:r>
    </w:p>
    <w:p w14:paraId="098D92F5" w14:textId="77777777" w:rsidR="00D0204B" w:rsidRPr="00D0204B" w:rsidRDefault="00D0204B" w:rsidP="00D0204B">
      <w:pPr>
        <w:numPr>
          <w:ilvl w:val="1"/>
          <w:numId w:val="6"/>
        </w:numPr>
        <w:rPr>
          <w:rFonts w:ascii="Arial" w:hAnsi="Arial" w:cs="Arial"/>
          <w:sz w:val="28"/>
          <w:szCs w:val="28"/>
        </w:rPr>
      </w:pPr>
      <w:r w:rsidRPr="00D0204B">
        <w:rPr>
          <w:rFonts w:ascii="Arial" w:hAnsi="Arial" w:cs="Arial"/>
          <w:sz w:val="28"/>
          <w:szCs w:val="28"/>
        </w:rPr>
        <w:lastRenderedPageBreak/>
        <w:t>Enhance focus on these mid-tier states by aligning property offerings with buyer preferences (e.g., luxury Residential in CA, high-value Commercial in NY).</w:t>
      </w:r>
    </w:p>
    <w:p w14:paraId="174B7454" w14:textId="77777777" w:rsidR="00D0204B" w:rsidRPr="00D0204B" w:rsidRDefault="00D0204B" w:rsidP="00D0204B">
      <w:pPr>
        <w:rPr>
          <w:rFonts w:ascii="Arial" w:hAnsi="Arial" w:cs="Arial"/>
          <w:sz w:val="28"/>
          <w:szCs w:val="28"/>
        </w:rPr>
      </w:pPr>
      <w:r w:rsidRPr="00D0204B">
        <w:rPr>
          <w:rFonts w:ascii="Arial" w:hAnsi="Arial" w:cs="Arial"/>
          <w:sz w:val="28"/>
          <w:szCs w:val="28"/>
        </w:rPr>
        <w:pict w14:anchorId="18B7CBEF">
          <v:rect id="_x0000_i1088" style="width:0;height:1.5pt" o:hralign="center" o:hrstd="t" o:hr="t" fillcolor="#a0a0a0" stroked="f"/>
        </w:pict>
      </w:r>
    </w:p>
    <w:p w14:paraId="44BA76A0" w14:textId="77777777" w:rsidR="00D0204B" w:rsidRPr="00D0204B" w:rsidRDefault="00D0204B" w:rsidP="00D0204B">
      <w:pPr>
        <w:rPr>
          <w:rFonts w:ascii="Arial" w:hAnsi="Arial" w:cs="Arial"/>
          <w:b/>
          <w:bCs/>
          <w:sz w:val="28"/>
          <w:szCs w:val="28"/>
        </w:rPr>
      </w:pPr>
      <w:r w:rsidRPr="00D0204B">
        <w:rPr>
          <w:rFonts w:ascii="Arial" w:hAnsi="Arial" w:cs="Arial"/>
          <w:b/>
          <w:bCs/>
          <w:sz w:val="28"/>
          <w:szCs w:val="28"/>
        </w:rPr>
        <w:t>3. Property Type Analysis</w:t>
      </w:r>
    </w:p>
    <w:p w14:paraId="4065C40A" w14:textId="77777777" w:rsidR="00D0204B" w:rsidRPr="00D0204B" w:rsidRDefault="00D0204B" w:rsidP="00D0204B">
      <w:pPr>
        <w:rPr>
          <w:rFonts w:ascii="Arial" w:hAnsi="Arial" w:cs="Arial"/>
          <w:b/>
          <w:bCs/>
          <w:sz w:val="28"/>
          <w:szCs w:val="28"/>
        </w:rPr>
      </w:pPr>
      <w:r w:rsidRPr="00D0204B">
        <w:rPr>
          <w:rFonts w:ascii="Arial" w:hAnsi="Arial" w:cs="Arial"/>
          <w:b/>
          <w:bCs/>
          <w:sz w:val="28"/>
          <w:szCs w:val="28"/>
        </w:rPr>
        <w:t>Property Contribution</w:t>
      </w:r>
    </w:p>
    <w:p w14:paraId="1B1E9B30" w14:textId="77777777" w:rsidR="00D0204B" w:rsidRPr="00D0204B" w:rsidRDefault="00D0204B" w:rsidP="00D0204B">
      <w:pPr>
        <w:numPr>
          <w:ilvl w:val="0"/>
          <w:numId w:val="7"/>
        </w:numPr>
        <w:rPr>
          <w:rFonts w:ascii="Arial" w:hAnsi="Arial" w:cs="Arial"/>
          <w:sz w:val="28"/>
          <w:szCs w:val="28"/>
        </w:rPr>
      </w:pPr>
      <w:r w:rsidRPr="00D0204B">
        <w:rPr>
          <w:rFonts w:ascii="Arial" w:hAnsi="Arial" w:cs="Arial"/>
          <w:b/>
          <w:bCs/>
          <w:sz w:val="28"/>
          <w:szCs w:val="28"/>
        </w:rPr>
        <w:t>Land</w:t>
      </w:r>
      <w:r w:rsidRPr="00D0204B">
        <w:rPr>
          <w:rFonts w:ascii="Arial" w:hAnsi="Arial" w:cs="Arial"/>
          <w:sz w:val="28"/>
          <w:szCs w:val="28"/>
        </w:rPr>
        <w:t>: 35% of total sales, the leading contributor.</w:t>
      </w:r>
    </w:p>
    <w:p w14:paraId="003434F7" w14:textId="77777777" w:rsidR="00D0204B" w:rsidRPr="00D0204B" w:rsidRDefault="00D0204B" w:rsidP="00D0204B">
      <w:pPr>
        <w:numPr>
          <w:ilvl w:val="0"/>
          <w:numId w:val="7"/>
        </w:numPr>
        <w:rPr>
          <w:rFonts w:ascii="Arial" w:hAnsi="Arial" w:cs="Arial"/>
          <w:sz w:val="28"/>
          <w:szCs w:val="28"/>
        </w:rPr>
      </w:pPr>
      <w:r w:rsidRPr="00D0204B">
        <w:rPr>
          <w:rFonts w:ascii="Arial" w:hAnsi="Arial" w:cs="Arial"/>
          <w:b/>
          <w:bCs/>
          <w:sz w:val="28"/>
          <w:szCs w:val="28"/>
        </w:rPr>
        <w:t>Commercial</w:t>
      </w:r>
      <w:r w:rsidRPr="00D0204B">
        <w:rPr>
          <w:rFonts w:ascii="Arial" w:hAnsi="Arial" w:cs="Arial"/>
          <w:sz w:val="28"/>
          <w:szCs w:val="28"/>
        </w:rPr>
        <w:t>: 32%, showing strong demand from business clients.</w:t>
      </w:r>
    </w:p>
    <w:p w14:paraId="6DE0A7DE" w14:textId="77777777" w:rsidR="00D0204B" w:rsidRPr="00D0204B" w:rsidRDefault="00D0204B" w:rsidP="00D0204B">
      <w:pPr>
        <w:numPr>
          <w:ilvl w:val="0"/>
          <w:numId w:val="7"/>
        </w:numPr>
        <w:rPr>
          <w:rFonts w:ascii="Arial" w:hAnsi="Arial" w:cs="Arial"/>
          <w:sz w:val="28"/>
          <w:szCs w:val="28"/>
        </w:rPr>
      </w:pPr>
      <w:r w:rsidRPr="00D0204B">
        <w:rPr>
          <w:rFonts w:ascii="Arial" w:hAnsi="Arial" w:cs="Arial"/>
          <w:b/>
          <w:bCs/>
          <w:sz w:val="28"/>
          <w:szCs w:val="28"/>
        </w:rPr>
        <w:t>Residential</w:t>
      </w:r>
      <w:r w:rsidRPr="00D0204B">
        <w:rPr>
          <w:rFonts w:ascii="Arial" w:hAnsi="Arial" w:cs="Arial"/>
          <w:sz w:val="28"/>
          <w:szCs w:val="28"/>
        </w:rPr>
        <w:t>: 32%, reflecting balanced interest from individual buyers.</w:t>
      </w:r>
    </w:p>
    <w:p w14:paraId="5E94DC12" w14:textId="77777777" w:rsidR="00D0204B" w:rsidRPr="00D0204B" w:rsidRDefault="00D0204B" w:rsidP="00D0204B">
      <w:pPr>
        <w:rPr>
          <w:rFonts w:ascii="Arial" w:hAnsi="Arial" w:cs="Arial"/>
          <w:b/>
          <w:bCs/>
          <w:sz w:val="28"/>
          <w:szCs w:val="28"/>
        </w:rPr>
      </w:pPr>
      <w:r w:rsidRPr="00D0204B">
        <w:rPr>
          <w:rFonts w:ascii="Arial" w:hAnsi="Arial" w:cs="Arial"/>
          <w:b/>
          <w:bCs/>
          <w:sz w:val="28"/>
          <w:szCs w:val="28"/>
        </w:rPr>
        <w:t>Actionable Insights:</w:t>
      </w:r>
    </w:p>
    <w:p w14:paraId="0FCB8079" w14:textId="77777777" w:rsidR="00D0204B" w:rsidRPr="00D0204B" w:rsidRDefault="00D0204B" w:rsidP="00D0204B">
      <w:pPr>
        <w:numPr>
          <w:ilvl w:val="0"/>
          <w:numId w:val="8"/>
        </w:numPr>
        <w:rPr>
          <w:rFonts w:ascii="Arial" w:hAnsi="Arial" w:cs="Arial"/>
          <w:sz w:val="28"/>
          <w:szCs w:val="28"/>
        </w:rPr>
      </w:pPr>
      <w:r w:rsidRPr="00D0204B">
        <w:rPr>
          <w:rFonts w:ascii="Arial" w:hAnsi="Arial" w:cs="Arial"/>
          <w:b/>
          <w:bCs/>
          <w:sz w:val="28"/>
          <w:szCs w:val="28"/>
        </w:rPr>
        <w:t>Land and Commercial Properties</w:t>
      </w:r>
      <w:r w:rsidRPr="00D0204B">
        <w:rPr>
          <w:rFonts w:ascii="Arial" w:hAnsi="Arial" w:cs="Arial"/>
          <w:sz w:val="28"/>
          <w:szCs w:val="28"/>
        </w:rPr>
        <w:t>:</w:t>
      </w:r>
    </w:p>
    <w:p w14:paraId="0D0C64F2" w14:textId="77777777" w:rsidR="00D0204B" w:rsidRPr="00D0204B" w:rsidRDefault="00D0204B" w:rsidP="00D0204B">
      <w:pPr>
        <w:numPr>
          <w:ilvl w:val="1"/>
          <w:numId w:val="8"/>
        </w:numPr>
        <w:rPr>
          <w:rFonts w:ascii="Arial" w:hAnsi="Arial" w:cs="Arial"/>
          <w:sz w:val="28"/>
          <w:szCs w:val="28"/>
        </w:rPr>
      </w:pPr>
      <w:r w:rsidRPr="00D0204B">
        <w:rPr>
          <w:rFonts w:ascii="Arial" w:hAnsi="Arial" w:cs="Arial"/>
          <w:sz w:val="28"/>
          <w:szCs w:val="28"/>
        </w:rPr>
        <w:t>Expand inventory in Land and Commercial properties, particularly in high-performing states like TX and CA.</w:t>
      </w:r>
    </w:p>
    <w:p w14:paraId="2F895A3A" w14:textId="77777777" w:rsidR="00D0204B" w:rsidRPr="00D0204B" w:rsidRDefault="00D0204B" w:rsidP="00D0204B">
      <w:pPr>
        <w:numPr>
          <w:ilvl w:val="1"/>
          <w:numId w:val="8"/>
        </w:numPr>
        <w:rPr>
          <w:rFonts w:ascii="Arial" w:hAnsi="Arial" w:cs="Arial"/>
          <w:sz w:val="28"/>
          <w:szCs w:val="28"/>
        </w:rPr>
      </w:pPr>
      <w:r w:rsidRPr="00D0204B">
        <w:rPr>
          <w:rFonts w:ascii="Arial" w:hAnsi="Arial" w:cs="Arial"/>
          <w:sz w:val="28"/>
          <w:szCs w:val="28"/>
        </w:rPr>
        <w:t xml:space="preserve">Market land development opportunities </w:t>
      </w:r>
      <w:proofErr w:type="gramStart"/>
      <w:r w:rsidRPr="00D0204B">
        <w:rPr>
          <w:rFonts w:ascii="Arial" w:hAnsi="Arial" w:cs="Arial"/>
          <w:sz w:val="28"/>
          <w:szCs w:val="28"/>
        </w:rPr>
        <w:t>to</w:t>
      </w:r>
      <w:proofErr w:type="gramEnd"/>
      <w:r w:rsidRPr="00D0204B">
        <w:rPr>
          <w:rFonts w:ascii="Arial" w:hAnsi="Arial" w:cs="Arial"/>
          <w:sz w:val="28"/>
          <w:szCs w:val="28"/>
        </w:rPr>
        <w:t xml:space="preserve"> investors and developers.</w:t>
      </w:r>
    </w:p>
    <w:p w14:paraId="43573365" w14:textId="77777777" w:rsidR="00D0204B" w:rsidRPr="00D0204B" w:rsidRDefault="00D0204B" w:rsidP="00D0204B">
      <w:pPr>
        <w:numPr>
          <w:ilvl w:val="0"/>
          <w:numId w:val="8"/>
        </w:numPr>
        <w:rPr>
          <w:rFonts w:ascii="Arial" w:hAnsi="Arial" w:cs="Arial"/>
          <w:sz w:val="28"/>
          <w:szCs w:val="28"/>
        </w:rPr>
      </w:pPr>
      <w:r w:rsidRPr="00D0204B">
        <w:rPr>
          <w:rFonts w:ascii="Arial" w:hAnsi="Arial" w:cs="Arial"/>
          <w:b/>
          <w:bCs/>
          <w:sz w:val="28"/>
          <w:szCs w:val="28"/>
        </w:rPr>
        <w:t>Residential Growth Opportunities</w:t>
      </w:r>
      <w:r w:rsidRPr="00D0204B">
        <w:rPr>
          <w:rFonts w:ascii="Arial" w:hAnsi="Arial" w:cs="Arial"/>
          <w:sz w:val="28"/>
          <w:szCs w:val="28"/>
        </w:rPr>
        <w:t>:</w:t>
      </w:r>
    </w:p>
    <w:p w14:paraId="035B78BF" w14:textId="77777777" w:rsidR="00D0204B" w:rsidRPr="00D0204B" w:rsidRDefault="00D0204B" w:rsidP="00D0204B">
      <w:pPr>
        <w:numPr>
          <w:ilvl w:val="1"/>
          <w:numId w:val="8"/>
        </w:numPr>
        <w:rPr>
          <w:rFonts w:ascii="Arial" w:hAnsi="Arial" w:cs="Arial"/>
          <w:sz w:val="28"/>
          <w:szCs w:val="28"/>
        </w:rPr>
      </w:pPr>
      <w:r w:rsidRPr="00D0204B">
        <w:rPr>
          <w:rFonts w:ascii="Arial" w:hAnsi="Arial" w:cs="Arial"/>
          <w:sz w:val="28"/>
          <w:szCs w:val="28"/>
        </w:rPr>
        <w:t>Promote Residential properties in underperforming states to diversify revenue.</w:t>
      </w:r>
    </w:p>
    <w:p w14:paraId="6733DCB3" w14:textId="77777777" w:rsidR="00D0204B" w:rsidRPr="00D0204B" w:rsidRDefault="00D0204B" w:rsidP="00D0204B">
      <w:pPr>
        <w:numPr>
          <w:ilvl w:val="1"/>
          <w:numId w:val="8"/>
        </w:numPr>
        <w:rPr>
          <w:rFonts w:ascii="Arial" w:hAnsi="Arial" w:cs="Arial"/>
          <w:sz w:val="28"/>
          <w:szCs w:val="28"/>
        </w:rPr>
      </w:pPr>
      <w:r w:rsidRPr="00D0204B">
        <w:rPr>
          <w:rFonts w:ascii="Arial" w:hAnsi="Arial" w:cs="Arial"/>
          <w:sz w:val="28"/>
          <w:szCs w:val="28"/>
        </w:rPr>
        <w:t>Bundle Residential offerings with incentives (e.g., reduced closing costs, financing options).</w:t>
      </w:r>
    </w:p>
    <w:p w14:paraId="4BA6AA66" w14:textId="77777777" w:rsidR="00D0204B" w:rsidRPr="00D0204B" w:rsidRDefault="00D0204B" w:rsidP="00D0204B">
      <w:pPr>
        <w:rPr>
          <w:rFonts w:ascii="Arial" w:hAnsi="Arial" w:cs="Arial"/>
          <w:sz w:val="28"/>
          <w:szCs w:val="28"/>
        </w:rPr>
      </w:pPr>
      <w:r w:rsidRPr="00D0204B">
        <w:rPr>
          <w:rFonts w:ascii="Arial" w:hAnsi="Arial" w:cs="Arial"/>
          <w:sz w:val="28"/>
          <w:szCs w:val="28"/>
        </w:rPr>
        <w:pict w14:anchorId="5E1742B3">
          <v:rect id="_x0000_i1089" style="width:0;height:1.5pt" o:hralign="center" o:hrstd="t" o:hr="t" fillcolor="#a0a0a0" stroked="f"/>
        </w:pict>
      </w:r>
    </w:p>
    <w:p w14:paraId="53E3F00F" w14:textId="77777777" w:rsidR="00D0204B" w:rsidRPr="00D0204B" w:rsidRDefault="00D0204B" w:rsidP="00D0204B">
      <w:pPr>
        <w:rPr>
          <w:rFonts w:ascii="Arial" w:hAnsi="Arial" w:cs="Arial"/>
          <w:b/>
          <w:bCs/>
          <w:sz w:val="28"/>
          <w:szCs w:val="28"/>
        </w:rPr>
      </w:pPr>
      <w:r w:rsidRPr="00D0204B">
        <w:rPr>
          <w:rFonts w:ascii="Arial" w:hAnsi="Arial" w:cs="Arial"/>
          <w:b/>
          <w:bCs/>
          <w:sz w:val="28"/>
          <w:szCs w:val="28"/>
        </w:rPr>
        <w:t>4. Monthly Sales Trends</w:t>
      </w:r>
    </w:p>
    <w:p w14:paraId="6A7D4397" w14:textId="77777777" w:rsidR="00D0204B" w:rsidRPr="00D0204B" w:rsidRDefault="00D0204B" w:rsidP="00D0204B">
      <w:pPr>
        <w:rPr>
          <w:rFonts w:ascii="Arial" w:hAnsi="Arial" w:cs="Arial"/>
          <w:b/>
          <w:bCs/>
          <w:sz w:val="28"/>
          <w:szCs w:val="28"/>
        </w:rPr>
      </w:pPr>
      <w:r w:rsidRPr="00D0204B">
        <w:rPr>
          <w:rFonts w:ascii="Arial" w:hAnsi="Arial" w:cs="Arial"/>
          <w:b/>
          <w:bCs/>
          <w:sz w:val="28"/>
          <w:szCs w:val="28"/>
        </w:rPr>
        <w:t>Performance by Month</w:t>
      </w:r>
    </w:p>
    <w:p w14:paraId="6296F762" w14:textId="77777777" w:rsidR="00D0204B" w:rsidRPr="00D0204B" w:rsidRDefault="00D0204B" w:rsidP="00D0204B">
      <w:pPr>
        <w:numPr>
          <w:ilvl w:val="0"/>
          <w:numId w:val="9"/>
        </w:numPr>
        <w:rPr>
          <w:rFonts w:ascii="Arial" w:hAnsi="Arial" w:cs="Arial"/>
          <w:sz w:val="28"/>
          <w:szCs w:val="28"/>
        </w:rPr>
      </w:pPr>
      <w:r w:rsidRPr="00D0204B">
        <w:rPr>
          <w:rFonts w:ascii="Arial" w:hAnsi="Arial" w:cs="Arial"/>
          <w:b/>
          <w:bCs/>
          <w:sz w:val="28"/>
          <w:szCs w:val="28"/>
        </w:rPr>
        <w:t>January</w:t>
      </w:r>
      <w:r w:rsidRPr="00D0204B">
        <w:rPr>
          <w:rFonts w:ascii="Arial" w:hAnsi="Arial" w:cs="Arial"/>
          <w:sz w:val="28"/>
          <w:szCs w:val="28"/>
        </w:rPr>
        <w:t>: Strong start with $474M in sales.</w:t>
      </w:r>
    </w:p>
    <w:p w14:paraId="549D4A49" w14:textId="77777777" w:rsidR="00D0204B" w:rsidRPr="00D0204B" w:rsidRDefault="00D0204B" w:rsidP="00D0204B">
      <w:pPr>
        <w:numPr>
          <w:ilvl w:val="0"/>
          <w:numId w:val="9"/>
        </w:numPr>
        <w:rPr>
          <w:rFonts w:ascii="Arial" w:hAnsi="Arial" w:cs="Arial"/>
          <w:sz w:val="28"/>
          <w:szCs w:val="28"/>
        </w:rPr>
      </w:pPr>
      <w:r w:rsidRPr="00D0204B">
        <w:rPr>
          <w:rFonts w:ascii="Arial" w:hAnsi="Arial" w:cs="Arial"/>
          <w:b/>
          <w:bCs/>
          <w:sz w:val="28"/>
          <w:szCs w:val="28"/>
        </w:rPr>
        <w:t>February</w:t>
      </w:r>
      <w:r w:rsidRPr="00D0204B">
        <w:rPr>
          <w:rFonts w:ascii="Arial" w:hAnsi="Arial" w:cs="Arial"/>
          <w:sz w:val="28"/>
          <w:szCs w:val="28"/>
        </w:rPr>
        <w:t>: Sharp decline to $222M, the lowest-performing month.</w:t>
      </w:r>
    </w:p>
    <w:p w14:paraId="3137AAA3" w14:textId="77777777" w:rsidR="00D0204B" w:rsidRPr="00D0204B" w:rsidRDefault="00D0204B" w:rsidP="00D0204B">
      <w:pPr>
        <w:numPr>
          <w:ilvl w:val="0"/>
          <w:numId w:val="9"/>
        </w:numPr>
        <w:rPr>
          <w:rFonts w:ascii="Arial" w:hAnsi="Arial" w:cs="Arial"/>
          <w:sz w:val="28"/>
          <w:szCs w:val="28"/>
        </w:rPr>
      </w:pPr>
      <w:r w:rsidRPr="00D0204B">
        <w:rPr>
          <w:rFonts w:ascii="Arial" w:hAnsi="Arial" w:cs="Arial"/>
          <w:b/>
          <w:bCs/>
          <w:sz w:val="28"/>
          <w:szCs w:val="28"/>
        </w:rPr>
        <w:t>March to December</w:t>
      </w:r>
      <w:r w:rsidRPr="00D0204B">
        <w:rPr>
          <w:rFonts w:ascii="Arial" w:hAnsi="Arial" w:cs="Arial"/>
          <w:sz w:val="28"/>
          <w:szCs w:val="28"/>
        </w:rPr>
        <w:t>: Stable monthly performance averaging ~$460M.</w:t>
      </w:r>
    </w:p>
    <w:p w14:paraId="3F99FA12" w14:textId="77777777" w:rsidR="00D0204B" w:rsidRPr="00D0204B" w:rsidRDefault="00D0204B" w:rsidP="00D0204B">
      <w:pPr>
        <w:rPr>
          <w:rFonts w:ascii="Arial" w:hAnsi="Arial" w:cs="Arial"/>
          <w:b/>
          <w:bCs/>
          <w:sz w:val="28"/>
          <w:szCs w:val="28"/>
        </w:rPr>
      </w:pPr>
      <w:r w:rsidRPr="00D0204B">
        <w:rPr>
          <w:rFonts w:ascii="Arial" w:hAnsi="Arial" w:cs="Arial"/>
          <w:b/>
          <w:bCs/>
          <w:sz w:val="28"/>
          <w:szCs w:val="28"/>
        </w:rPr>
        <w:t>Actionable Insights:</w:t>
      </w:r>
    </w:p>
    <w:p w14:paraId="111B49A0" w14:textId="77777777" w:rsidR="00D0204B" w:rsidRPr="00D0204B" w:rsidRDefault="00D0204B" w:rsidP="00D0204B">
      <w:pPr>
        <w:numPr>
          <w:ilvl w:val="0"/>
          <w:numId w:val="10"/>
        </w:numPr>
        <w:rPr>
          <w:rFonts w:ascii="Arial" w:hAnsi="Arial" w:cs="Arial"/>
          <w:sz w:val="28"/>
          <w:szCs w:val="28"/>
        </w:rPr>
      </w:pPr>
      <w:r w:rsidRPr="00D0204B">
        <w:rPr>
          <w:rFonts w:ascii="Arial" w:hAnsi="Arial" w:cs="Arial"/>
          <w:b/>
          <w:bCs/>
          <w:sz w:val="28"/>
          <w:szCs w:val="28"/>
        </w:rPr>
        <w:lastRenderedPageBreak/>
        <w:t>Seasonality Management</w:t>
      </w:r>
      <w:r w:rsidRPr="00D0204B">
        <w:rPr>
          <w:rFonts w:ascii="Arial" w:hAnsi="Arial" w:cs="Arial"/>
          <w:sz w:val="28"/>
          <w:szCs w:val="28"/>
        </w:rPr>
        <w:t>:</w:t>
      </w:r>
    </w:p>
    <w:p w14:paraId="5EE444BB" w14:textId="77777777" w:rsidR="00D0204B" w:rsidRPr="00D0204B" w:rsidRDefault="00D0204B" w:rsidP="00D0204B">
      <w:pPr>
        <w:numPr>
          <w:ilvl w:val="1"/>
          <w:numId w:val="10"/>
        </w:numPr>
        <w:rPr>
          <w:rFonts w:ascii="Arial" w:hAnsi="Arial" w:cs="Arial"/>
          <w:sz w:val="28"/>
          <w:szCs w:val="28"/>
        </w:rPr>
      </w:pPr>
      <w:r w:rsidRPr="00D0204B">
        <w:rPr>
          <w:rFonts w:ascii="Arial" w:hAnsi="Arial" w:cs="Arial"/>
          <w:sz w:val="28"/>
          <w:szCs w:val="28"/>
        </w:rPr>
        <w:t>Introduce targeted promotions during February to mitigate seasonal dips (e.g., reduced fees, holiday-themed campaigns).</w:t>
      </w:r>
    </w:p>
    <w:p w14:paraId="762DB051" w14:textId="77777777" w:rsidR="00D0204B" w:rsidRPr="00D0204B" w:rsidRDefault="00D0204B" w:rsidP="00D0204B">
      <w:pPr>
        <w:numPr>
          <w:ilvl w:val="1"/>
          <w:numId w:val="10"/>
        </w:numPr>
        <w:rPr>
          <w:rFonts w:ascii="Arial" w:hAnsi="Arial" w:cs="Arial"/>
          <w:sz w:val="28"/>
          <w:szCs w:val="28"/>
        </w:rPr>
      </w:pPr>
      <w:r w:rsidRPr="00D0204B">
        <w:rPr>
          <w:rFonts w:ascii="Arial" w:hAnsi="Arial" w:cs="Arial"/>
          <w:sz w:val="28"/>
          <w:szCs w:val="28"/>
        </w:rPr>
        <w:t>Develop a consistent annual sales strategy to sustain revenue.</w:t>
      </w:r>
    </w:p>
    <w:p w14:paraId="51D21354" w14:textId="77777777" w:rsidR="00D0204B" w:rsidRPr="00D0204B" w:rsidRDefault="00D0204B" w:rsidP="00D0204B">
      <w:pPr>
        <w:numPr>
          <w:ilvl w:val="0"/>
          <w:numId w:val="10"/>
        </w:numPr>
        <w:rPr>
          <w:rFonts w:ascii="Arial" w:hAnsi="Arial" w:cs="Arial"/>
          <w:sz w:val="28"/>
          <w:szCs w:val="28"/>
        </w:rPr>
      </w:pPr>
      <w:r w:rsidRPr="00D0204B">
        <w:rPr>
          <w:rFonts w:ascii="Arial" w:hAnsi="Arial" w:cs="Arial"/>
          <w:b/>
          <w:bCs/>
          <w:sz w:val="28"/>
          <w:szCs w:val="28"/>
        </w:rPr>
        <w:t>Boost Peak Months</w:t>
      </w:r>
      <w:r w:rsidRPr="00D0204B">
        <w:rPr>
          <w:rFonts w:ascii="Arial" w:hAnsi="Arial" w:cs="Arial"/>
          <w:sz w:val="28"/>
          <w:szCs w:val="28"/>
        </w:rPr>
        <w:t>:</w:t>
      </w:r>
    </w:p>
    <w:p w14:paraId="033C59C2" w14:textId="77777777" w:rsidR="00D0204B" w:rsidRPr="00D0204B" w:rsidRDefault="00D0204B" w:rsidP="00D0204B">
      <w:pPr>
        <w:numPr>
          <w:ilvl w:val="1"/>
          <w:numId w:val="10"/>
        </w:numPr>
        <w:rPr>
          <w:rFonts w:ascii="Arial" w:hAnsi="Arial" w:cs="Arial"/>
          <w:sz w:val="28"/>
          <w:szCs w:val="28"/>
        </w:rPr>
      </w:pPr>
      <w:r w:rsidRPr="00D0204B">
        <w:rPr>
          <w:rFonts w:ascii="Arial" w:hAnsi="Arial" w:cs="Arial"/>
          <w:sz w:val="28"/>
          <w:szCs w:val="28"/>
        </w:rPr>
        <w:t>Enhance campaigns during January and March to maximize early-year momentum.</w:t>
      </w:r>
    </w:p>
    <w:p w14:paraId="3D4C0B98" w14:textId="77777777" w:rsidR="00D0204B" w:rsidRPr="00D0204B" w:rsidRDefault="00D0204B" w:rsidP="00D0204B">
      <w:pPr>
        <w:rPr>
          <w:rFonts w:ascii="Arial" w:hAnsi="Arial" w:cs="Arial"/>
          <w:sz w:val="28"/>
          <w:szCs w:val="28"/>
        </w:rPr>
      </w:pPr>
      <w:r w:rsidRPr="00D0204B">
        <w:rPr>
          <w:rFonts w:ascii="Arial" w:hAnsi="Arial" w:cs="Arial"/>
          <w:sz w:val="28"/>
          <w:szCs w:val="28"/>
        </w:rPr>
        <w:pict w14:anchorId="3D66B3AE">
          <v:rect id="_x0000_i1090" style="width:0;height:1.5pt" o:hralign="center" o:hrstd="t" o:hr="t" fillcolor="#a0a0a0" stroked="f"/>
        </w:pict>
      </w:r>
    </w:p>
    <w:p w14:paraId="29658ED4" w14:textId="77777777" w:rsidR="00D0204B" w:rsidRPr="00D0204B" w:rsidRDefault="00D0204B" w:rsidP="00D0204B">
      <w:pPr>
        <w:rPr>
          <w:rFonts w:ascii="Arial" w:hAnsi="Arial" w:cs="Arial"/>
          <w:b/>
          <w:bCs/>
          <w:sz w:val="28"/>
          <w:szCs w:val="28"/>
        </w:rPr>
      </w:pPr>
      <w:r w:rsidRPr="00D0204B">
        <w:rPr>
          <w:rFonts w:ascii="Arial" w:hAnsi="Arial" w:cs="Arial"/>
          <w:b/>
          <w:bCs/>
          <w:sz w:val="28"/>
          <w:szCs w:val="28"/>
        </w:rPr>
        <w:t>5. Agent Performance</w:t>
      </w:r>
    </w:p>
    <w:p w14:paraId="382525DF" w14:textId="77777777" w:rsidR="00D0204B" w:rsidRPr="00D0204B" w:rsidRDefault="00D0204B" w:rsidP="00D0204B">
      <w:pPr>
        <w:rPr>
          <w:rFonts w:ascii="Arial" w:hAnsi="Arial" w:cs="Arial"/>
          <w:b/>
          <w:bCs/>
          <w:sz w:val="28"/>
          <w:szCs w:val="28"/>
        </w:rPr>
      </w:pPr>
      <w:r w:rsidRPr="00D0204B">
        <w:rPr>
          <w:rFonts w:ascii="Arial" w:hAnsi="Arial" w:cs="Arial"/>
          <w:b/>
          <w:bCs/>
          <w:sz w:val="28"/>
          <w:szCs w:val="28"/>
        </w:rPr>
        <w:t>Top Performers</w:t>
      </w:r>
    </w:p>
    <w:p w14:paraId="042AA119" w14:textId="77777777" w:rsidR="00D0204B" w:rsidRPr="00D0204B" w:rsidRDefault="00D0204B" w:rsidP="00D0204B">
      <w:pPr>
        <w:numPr>
          <w:ilvl w:val="0"/>
          <w:numId w:val="11"/>
        </w:numPr>
        <w:rPr>
          <w:rFonts w:ascii="Arial" w:hAnsi="Arial" w:cs="Arial"/>
          <w:sz w:val="28"/>
          <w:szCs w:val="28"/>
        </w:rPr>
      </w:pPr>
      <w:r w:rsidRPr="00D0204B">
        <w:rPr>
          <w:rFonts w:ascii="Arial" w:hAnsi="Arial" w:cs="Arial"/>
          <w:b/>
          <w:bCs/>
          <w:sz w:val="28"/>
          <w:szCs w:val="28"/>
        </w:rPr>
        <w:t>Robert Davis</w:t>
      </w:r>
      <w:r w:rsidRPr="00D0204B">
        <w:rPr>
          <w:rFonts w:ascii="Arial" w:hAnsi="Arial" w:cs="Arial"/>
          <w:sz w:val="28"/>
          <w:szCs w:val="28"/>
        </w:rPr>
        <w:t>: $284M in sales across 509 transactions, leading the team.</w:t>
      </w:r>
    </w:p>
    <w:p w14:paraId="727301B0" w14:textId="77777777" w:rsidR="00D0204B" w:rsidRPr="00D0204B" w:rsidRDefault="00D0204B" w:rsidP="00D0204B">
      <w:pPr>
        <w:numPr>
          <w:ilvl w:val="0"/>
          <w:numId w:val="11"/>
        </w:numPr>
        <w:rPr>
          <w:rFonts w:ascii="Arial" w:hAnsi="Arial" w:cs="Arial"/>
          <w:sz w:val="28"/>
          <w:szCs w:val="28"/>
        </w:rPr>
      </w:pPr>
      <w:r w:rsidRPr="00D0204B">
        <w:rPr>
          <w:rFonts w:ascii="Arial" w:hAnsi="Arial" w:cs="Arial"/>
          <w:b/>
          <w:bCs/>
          <w:sz w:val="28"/>
          <w:szCs w:val="28"/>
        </w:rPr>
        <w:t>Linda Davis</w:t>
      </w:r>
      <w:r w:rsidRPr="00D0204B">
        <w:rPr>
          <w:rFonts w:ascii="Arial" w:hAnsi="Arial" w:cs="Arial"/>
          <w:sz w:val="28"/>
          <w:szCs w:val="28"/>
        </w:rPr>
        <w:t>: $237M from 424 transactions.</w:t>
      </w:r>
    </w:p>
    <w:p w14:paraId="4114B353" w14:textId="77777777" w:rsidR="00D0204B" w:rsidRPr="00D0204B" w:rsidRDefault="00D0204B" w:rsidP="00D0204B">
      <w:pPr>
        <w:rPr>
          <w:rFonts w:ascii="Arial" w:hAnsi="Arial" w:cs="Arial"/>
          <w:b/>
          <w:bCs/>
          <w:sz w:val="28"/>
          <w:szCs w:val="28"/>
        </w:rPr>
      </w:pPr>
      <w:r w:rsidRPr="00D0204B">
        <w:rPr>
          <w:rFonts w:ascii="Arial" w:hAnsi="Arial" w:cs="Arial"/>
          <w:b/>
          <w:bCs/>
          <w:sz w:val="28"/>
          <w:szCs w:val="28"/>
        </w:rPr>
        <w:t>Efficiency Analysis</w:t>
      </w:r>
    </w:p>
    <w:p w14:paraId="523050B1" w14:textId="77777777" w:rsidR="00D0204B" w:rsidRPr="00D0204B" w:rsidRDefault="00D0204B" w:rsidP="00D0204B">
      <w:pPr>
        <w:numPr>
          <w:ilvl w:val="0"/>
          <w:numId w:val="12"/>
        </w:numPr>
        <w:rPr>
          <w:rFonts w:ascii="Arial" w:hAnsi="Arial" w:cs="Arial"/>
          <w:sz w:val="28"/>
          <w:szCs w:val="28"/>
        </w:rPr>
      </w:pPr>
      <w:r w:rsidRPr="00D0204B">
        <w:rPr>
          <w:rFonts w:ascii="Arial" w:hAnsi="Arial" w:cs="Arial"/>
          <w:sz w:val="28"/>
          <w:szCs w:val="28"/>
        </w:rPr>
        <w:t>Agents with higher average transaction values (e.g., Linda Davis) set benchmarks for efficiency.</w:t>
      </w:r>
    </w:p>
    <w:p w14:paraId="22947277" w14:textId="77777777" w:rsidR="00D0204B" w:rsidRPr="00D0204B" w:rsidRDefault="00D0204B" w:rsidP="00D0204B">
      <w:pPr>
        <w:rPr>
          <w:rFonts w:ascii="Arial" w:hAnsi="Arial" w:cs="Arial"/>
          <w:b/>
          <w:bCs/>
          <w:sz w:val="28"/>
          <w:szCs w:val="28"/>
        </w:rPr>
      </w:pPr>
      <w:r w:rsidRPr="00D0204B">
        <w:rPr>
          <w:rFonts w:ascii="Arial" w:hAnsi="Arial" w:cs="Arial"/>
          <w:b/>
          <w:bCs/>
          <w:sz w:val="28"/>
          <w:szCs w:val="28"/>
        </w:rPr>
        <w:t>Actionable Insights:</w:t>
      </w:r>
    </w:p>
    <w:p w14:paraId="33F802BE" w14:textId="77777777" w:rsidR="00D0204B" w:rsidRPr="00D0204B" w:rsidRDefault="00D0204B" w:rsidP="00D0204B">
      <w:pPr>
        <w:numPr>
          <w:ilvl w:val="0"/>
          <w:numId w:val="13"/>
        </w:numPr>
        <w:rPr>
          <w:rFonts w:ascii="Arial" w:hAnsi="Arial" w:cs="Arial"/>
          <w:sz w:val="28"/>
          <w:szCs w:val="28"/>
        </w:rPr>
      </w:pPr>
      <w:r w:rsidRPr="00D0204B">
        <w:rPr>
          <w:rFonts w:ascii="Arial" w:hAnsi="Arial" w:cs="Arial"/>
          <w:b/>
          <w:bCs/>
          <w:sz w:val="28"/>
          <w:szCs w:val="28"/>
        </w:rPr>
        <w:t>Mentorship and Training</w:t>
      </w:r>
      <w:r w:rsidRPr="00D0204B">
        <w:rPr>
          <w:rFonts w:ascii="Arial" w:hAnsi="Arial" w:cs="Arial"/>
          <w:sz w:val="28"/>
          <w:szCs w:val="28"/>
        </w:rPr>
        <w:t>:</w:t>
      </w:r>
    </w:p>
    <w:p w14:paraId="4C8DFFC0" w14:textId="77777777" w:rsidR="00D0204B" w:rsidRPr="00D0204B" w:rsidRDefault="00D0204B" w:rsidP="00D0204B">
      <w:pPr>
        <w:numPr>
          <w:ilvl w:val="1"/>
          <w:numId w:val="13"/>
        </w:numPr>
        <w:rPr>
          <w:rFonts w:ascii="Arial" w:hAnsi="Arial" w:cs="Arial"/>
          <w:sz w:val="28"/>
          <w:szCs w:val="28"/>
        </w:rPr>
      </w:pPr>
      <w:r w:rsidRPr="00D0204B">
        <w:rPr>
          <w:rFonts w:ascii="Arial" w:hAnsi="Arial" w:cs="Arial"/>
          <w:sz w:val="28"/>
          <w:szCs w:val="28"/>
        </w:rPr>
        <w:t>Pair top agents with mid-performers to improve average transaction value and sales techniques.</w:t>
      </w:r>
    </w:p>
    <w:p w14:paraId="7E994296" w14:textId="77777777" w:rsidR="00D0204B" w:rsidRPr="00D0204B" w:rsidRDefault="00D0204B" w:rsidP="00D0204B">
      <w:pPr>
        <w:numPr>
          <w:ilvl w:val="0"/>
          <w:numId w:val="13"/>
        </w:numPr>
        <w:rPr>
          <w:rFonts w:ascii="Arial" w:hAnsi="Arial" w:cs="Arial"/>
          <w:sz w:val="28"/>
          <w:szCs w:val="28"/>
        </w:rPr>
      </w:pPr>
      <w:r w:rsidRPr="00D0204B">
        <w:rPr>
          <w:rFonts w:ascii="Arial" w:hAnsi="Arial" w:cs="Arial"/>
          <w:b/>
          <w:bCs/>
          <w:sz w:val="28"/>
          <w:szCs w:val="28"/>
        </w:rPr>
        <w:t>Recognition and Incentives</w:t>
      </w:r>
      <w:r w:rsidRPr="00D0204B">
        <w:rPr>
          <w:rFonts w:ascii="Arial" w:hAnsi="Arial" w:cs="Arial"/>
          <w:sz w:val="28"/>
          <w:szCs w:val="28"/>
        </w:rPr>
        <w:t>:</w:t>
      </w:r>
    </w:p>
    <w:p w14:paraId="589C6C87" w14:textId="77777777" w:rsidR="00D0204B" w:rsidRPr="00D0204B" w:rsidRDefault="00D0204B" w:rsidP="00D0204B">
      <w:pPr>
        <w:numPr>
          <w:ilvl w:val="1"/>
          <w:numId w:val="13"/>
        </w:numPr>
        <w:rPr>
          <w:rFonts w:ascii="Arial" w:hAnsi="Arial" w:cs="Arial"/>
          <w:sz w:val="28"/>
          <w:szCs w:val="28"/>
        </w:rPr>
      </w:pPr>
      <w:r w:rsidRPr="00D0204B">
        <w:rPr>
          <w:rFonts w:ascii="Arial" w:hAnsi="Arial" w:cs="Arial"/>
          <w:sz w:val="28"/>
          <w:szCs w:val="28"/>
        </w:rPr>
        <w:t>Implement performance-based rewards to sustain and enhance top agent contributions.</w:t>
      </w:r>
    </w:p>
    <w:p w14:paraId="03FC5096" w14:textId="77777777" w:rsidR="00D0204B" w:rsidRPr="00D0204B" w:rsidRDefault="00D0204B" w:rsidP="00D0204B">
      <w:pPr>
        <w:rPr>
          <w:rFonts w:ascii="Arial" w:hAnsi="Arial" w:cs="Arial"/>
          <w:sz w:val="28"/>
          <w:szCs w:val="28"/>
        </w:rPr>
      </w:pPr>
      <w:r w:rsidRPr="00D0204B">
        <w:rPr>
          <w:rFonts w:ascii="Arial" w:hAnsi="Arial" w:cs="Arial"/>
          <w:sz w:val="28"/>
          <w:szCs w:val="28"/>
        </w:rPr>
        <w:pict w14:anchorId="2807EE35">
          <v:rect id="_x0000_i1091" style="width:0;height:1.5pt" o:hralign="center" o:hrstd="t" o:hr="t" fillcolor="#a0a0a0" stroked="f"/>
        </w:pict>
      </w:r>
    </w:p>
    <w:p w14:paraId="01AC404B" w14:textId="77777777" w:rsidR="00D0204B" w:rsidRPr="00D0204B" w:rsidRDefault="00D0204B" w:rsidP="00D0204B">
      <w:pPr>
        <w:rPr>
          <w:rFonts w:ascii="Arial" w:hAnsi="Arial" w:cs="Arial"/>
          <w:b/>
          <w:bCs/>
          <w:sz w:val="28"/>
          <w:szCs w:val="28"/>
        </w:rPr>
      </w:pPr>
      <w:r w:rsidRPr="00D0204B">
        <w:rPr>
          <w:rFonts w:ascii="Arial" w:hAnsi="Arial" w:cs="Arial"/>
          <w:b/>
          <w:bCs/>
          <w:sz w:val="28"/>
          <w:szCs w:val="28"/>
        </w:rPr>
        <w:t>6. Revenue Influencers</w:t>
      </w:r>
    </w:p>
    <w:p w14:paraId="482B40C2" w14:textId="77777777" w:rsidR="00D0204B" w:rsidRPr="00D0204B" w:rsidRDefault="00D0204B" w:rsidP="00D0204B">
      <w:pPr>
        <w:rPr>
          <w:rFonts w:ascii="Arial" w:hAnsi="Arial" w:cs="Arial"/>
          <w:b/>
          <w:bCs/>
          <w:sz w:val="28"/>
          <w:szCs w:val="28"/>
        </w:rPr>
      </w:pPr>
      <w:r w:rsidRPr="00D0204B">
        <w:rPr>
          <w:rFonts w:ascii="Arial" w:hAnsi="Arial" w:cs="Arial"/>
          <w:b/>
          <w:bCs/>
          <w:sz w:val="28"/>
          <w:szCs w:val="28"/>
        </w:rPr>
        <w:t>State as Key Influencer</w:t>
      </w:r>
    </w:p>
    <w:p w14:paraId="3E601F35" w14:textId="77777777" w:rsidR="00D0204B" w:rsidRPr="00D0204B" w:rsidRDefault="00D0204B" w:rsidP="00D0204B">
      <w:pPr>
        <w:numPr>
          <w:ilvl w:val="0"/>
          <w:numId w:val="14"/>
        </w:numPr>
        <w:rPr>
          <w:rFonts w:ascii="Arial" w:hAnsi="Arial" w:cs="Arial"/>
          <w:sz w:val="28"/>
          <w:szCs w:val="28"/>
        </w:rPr>
      </w:pPr>
      <w:r w:rsidRPr="00D0204B">
        <w:rPr>
          <w:rFonts w:ascii="Arial" w:hAnsi="Arial" w:cs="Arial"/>
          <w:sz w:val="28"/>
          <w:szCs w:val="28"/>
        </w:rPr>
        <w:t xml:space="preserve">Properties in Texas (TX) significantly increase average total sales, highlighting </w:t>
      </w:r>
      <w:proofErr w:type="gramStart"/>
      <w:r w:rsidRPr="00D0204B">
        <w:rPr>
          <w:rFonts w:ascii="Arial" w:hAnsi="Arial" w:cs="Arial"/>
          <w:sz w:val="28"/>
          <w:szCs w:val="28"/>
        </w:rPr>
        <w:t>its</w:t>
      </w:r>
      <w:proofErr w:type="gramEnd"/>
      <w:r w:rsidRPr="00D0204B">
        <w:rPr>
          <w:rFonts w:ascii="Arial" w:hAnsi="Arial" w:cs="Arial"/>
          <w:sz w:val="28"/>
          <w:szCs w:val="28"/>
        </w:rPr>
        <w:t xml:space="preserve"> pivotal role in overall performance.</w:t>
      </w:r>
    </w:p>
    <w:p w14:paraId="0899FEBD" w14:textId="77777777" w:rsidR="00D0204B" w:rsidRPr="00D0204B" w:rsidRDefault="00D0204B" w:rsidP="00D0204B">
      <w:pPr>
        <w:rPr>
          <w:rFonts w:ascii="Arial" w:hAnsi="Arial" w:cs="Arial"/>
          <w:b/>
          <w:bCs/>
          <w:sz w:val="28"/>
          <w:szCs w:val="28"/>
        </w:rPr>
      </w:pPr>
      <w:r w:rsidRPr="00D0204B">
        <w:rPr>
          <w:rFonts w:ascii="Arial" w:hAnsi="Arial" w:cs="Arial"/>
          <w:b/>
          <w:bCs/>
          <w:sz w:val="28"/>
          <w:szCs w:val="28"/>
        </w:rPr>
        <w:lastRenderedPageBreak/>
        <w:t>Actionable Insights:</w:t>
      </w:r>
    </w:p>
    <w:p w14:paraId="16CE3AE8" w14:textId="77777777" w:rsidR="00D0204B" w:rsidRPr="00D0204B" w:rsidRDefault="00D0204B" w:rsidP="00D0204B">
      <w:pPr>
        <w:numPr>
          <w:ilvl w:val="0"/>
          <w:numId w:val="15"/>
        </w:numPr>
        <w:rPr>
          <w:rFonts w:ascii="Arial" w:hAnsi="Arial" w:cs="Arial"/>
          <w:sz w:val="28"/>
          <w:szCs w:val="28"/>
        </w:rPr>
      </w:pPr>
      <w:r w:rsidRPr="00D0204B">
        <w:rPr>
          <w:rFonts w:ascii="Arial" w:hAnsi="Arial" w:cs="Arial"/>
          <w:b/>
          <w:bCs/>
          <w:sz w:val="28"/>
          <w:szCs w:val="28"/>
        </w:rPr>
        <w:t>Replicate Texas Success</w:t>
      </w:r>
      <w:r w:rsidRPr="00D0204B">
        <w:rPr>
          <w:rFonts w:ascii="Arial" w:hAnsi="Arial" w:cs="Arial"/>
          <w:sz w:val="28"/>
          <w:szCs w:val="28"/>
        </w:rPr>
        <w:t>:</w:t>
      </w:r>
    </w:p>
    <w:p w14:paraId="00B68A23" w14:textId="77777777" w:rsidR="00D0204B" w:rsidRPr="00D0204B" w:rsidRDefault="00D0204B" w:rsidP="00D0204B">
      <w:pPr>
        <w:numPr>
          <w:ilvl w:val="1"/>
          <w:numId w:val="15"/>
        </w:numPr>
        <w:rPr>
          <w:rFonts w:ascii="Arial" w:hAnsi="Arial" w:cs="Arial"/>
          <w:sz w:val="28"/>
          <w:szCs w:val="28"/>
        </w:rPr>
      </w:pPr>
      <w:r w:rsidRPr="00D0204B">
        <w:rPr>
          <w:rFonts w:ascii="Arial" w:hAnsi="Arial" w:cs="Arial"/>
          <w:sz w:val="28"/>
          <w:szCs w:val="28"/>
        </w:rPr>
        <w:t>Study TX buyer demographics, property preferences, and marketing strategies to replicate success in other states.</w:t>
      </w:r>
    </w:p>
    <w:p w14:paraId="75DE0880" w14:textId="77777777" w:rsidR="00D0204B" w:rsidRPr="00D0204B" w:rsidRDefault="00D0204B" w:rsidP="00D0204B">
      <w:pPr>
        <w:numPr>
          <w:ilvl w:val="0"/>
          <w:numId w:val="15"/>
        </w:numPr>
        <w:rPr>
          <w:rFonts w:ascii="Arial" w:hAnsi="Arial" w:cs="Arial"/>
          <w:sz w:val="28"/>
          <w:szCs w:val="28"/>
        </w:rPr>
      </w:pPr>
      <w:r w:rsidRPr="00D0204B">
        <w:rPr>
          <w:rFonts w:ascii="Arial" w:hAnsi="Arial" w:cs="Arial"/>
          <w:b/>
          <w:bCs/>
          <w:sz w:val="28"/>
          <w:szCs w:val="28"/>
        </w:rPr>
        <w:t>Predictive Analysis</w:t>
      </w:r>
      <w:r w:rsidRPr="00D0204B">
        <w:rPr>
          <w:rFonts w:ascii="Arial" w:hAnsi="Arial" w:cs="Arial"/>
          <w:sz w:val="28"/>
          <w:szCs w:val="28"/>
        </w:rPr>
        <w:t>:</w:t>
      </w:r>
    </w:p>
    <w:p w14:paraId="61F901A6" w14:textId="77777777" w:rsidR="00D0204B" w:rsidRPr="00D0204B" w:rsidRDefault="00D0204B" w:rsidP="00D0204B">
      <w:pPr>
        <w:numPr>
          <w:ilvl w:val="1"/>
          <w:numId w:val="15"/>
        </w:numPr>
        <w:rPr>
          <w:rFonts w:ascii="Arial" w:hAnsi="Arial" w:cs="Arial"/>
          <w:sz w:val="28"/>
          <w:szCs w:val="28"/>
        </w:rPr>
      </w:pPr>
      <w:r w:rsidRPr="00D0204B">
        <w:rPr>
          <w:rFonts w:ascii="Arial" w:hAnsi="Arial" w:cs="Arial"/>
          <w:sz w:val="28"/>
          <w:szCs w:val="28"/>
        </w:rPr>
        <w:t>Develop predictive models to forecast sales trends by state and adjust resource allocation dynamically.</w:t>
      </w:r>
    </w:p>
    <w:p w14:paraId="28C118F2" w14:textId="77777777" w:rsidR="00D0204B" w:rsidRPr="00D0204B" w:rsidRDefault="00D0204B" w:rsidP="00D0204B">
      <w:pPr>
        <w:rPr>
          <w:rFonts w:ascii="Arial" w:hAnsi="Arial" w:cs="Arial"/>
          <w:sz w:val="28"/>
          <w:szCs w:val="28"/>
        </w:rPr>
      </w:pPr>
      <w:r w:rsidRPr="00D0204B">
        <w:rPr>
          <w:rFonts w:ascii="Arial" w:hAnsi="Arial" w:cs="Arial"/>
          <w:sz w:val="28"/>
          <w:szCs w:val="28"/>
        </w:rPr>
        <w:pict w14:anchorId="534A327B">
          <v:rect id="_x0000_i1092" style="width:0;height:1.5pt" o:hralign="center" o:hrstd="t" o:hr="t" fillcolor="#a0a0a0" stroked="f"/>
        </w:pict>
      </w:r>
    </w:p>
    <w:p w14:paraId="12E6B503" w14:textId="77777777" w:rsidR="00D0204B" w:rsidRPr="00D0204B" w:rsidRDefault="00D0204B" w:rsidP="00D0204B">
      <w:pPr>
        <w:rPr>
          <w:rFonts w:ascii="Arial" w:hAnsi="Arial" w:cs="Arial"/>
          <w:b/>
          <w:bCs/>
          <w:sz w:val="28"/>
          <w:szCs w:val="28"/>
        </w:rPr>
      </w:pPr>
      <w:r w:rsidRPr="00D0204B">
        <w:rPr>
          <w:rFonts w:ascii="Arial" w:hAnsi="Arial" w:cs="Arial"/>
          <w:b/>
          <w:bCs/>
          <w:sz w:val="28"/>
          <w:szCs w:val="28"/>
        </w:rPr>
        <w:t>7. Recommendations</w:t>
      </w:r>
    </w:p>
    <w:p w14:paraId="37BAF74D" w14:textId="77777777" w:rsidR="00D0204B" w:rsidRPr="00D0204B" w:rsidRDefault="00D0204B" w:rsidP="00D0204B">
      <w:pPr>
        <w:rPr>
          <w:rFonts w:ascii="Arial" w:hAnsi="Arial" w:cs="Arial"/>
          <w:b/>
          <w:bCs/>
          <w:sz w:val="28"/>
          <w:szCs w:val="28"/>
        </w:rPr>
      </w:pPr>
      <w:r w:rsidRPr="00D0204B">
        <w:rPr>
          <w:rFonts w:ascii="Arial" w:hAnsi="Arial" w:cs="Arial"/>
          <w:b/>
          <w:bCs/>
          <w:sz w:val="28"/>
          <w:szCs w:val="28"/>
        </w:rPr>
        <w:t>Short-Term (0–3 Months)</w:t>
      </w:r>
    </w:p>
    <w:p w14:paraId="1AAE1C31" w14:textId="77777777" w:rsidR="00D0204B" w:rsidRPr="00D0204B" w:rsidRDefault="00D0204B" w:rsidP="00D0204B">
      <w:pPr>
        <w:numPr>
          <w:ilvl w:val="0"/>
          <w:numId w:val="16"/>
        </w:numPr>
        <w:rPr>
          <w:rFonts w:ascii="Arial" w:hAnsi="Arial" w:cs="Arial"/>
          <w:sz w:val="28"/>
          <w:szCs w:val="28"/>
        </w:rPr>
      </w:pPr>
      <w:r w:rsidRPr="00D0204B">
        <w:rPr>
          <w:rFonts w:ascii="Arial" w:hAnsi="Arial" w:cs="Arial"/>
          <w:sz w:val="28"/>
          <w:szCs w:val="28"/>
        </w:rPr>
        <w:t>Target Texas for immediate gains through enhanced listings and campaigns.</w:t>
      </w:r>
    </w:p>
    <w:p w14:paraId="247C47C3" w14:textId="77777777" w:rsidR="00D0204B" w:rsidRPr="00D0204B" w:rsidRDefault="00D0204B" w:rsidP="00D0204B">
      <w:pPr>
        <w:numPr>
          <w:ilvl w:val="0"/>
          <w:numId w:val="16"/>
        </w:numPr>
        <w:rPr>
          <w:rFonts w:ascii="Arial" w:hAnsi="Arial" w:cs="Arial"/>
          <w:sz w:val="28"/>
          <w:szCs w:val="28"/>
        </w:rPr>
      </w:pPr>
      <w:proofErr w:type="gramStart"/>
      <w:r w:rsidRPr="00D0204B">
        <w:rPr>
          <w:rFonts w:ascii="Arial" w:hAnsi="Arial" w:cs="Arial"/>
          <w:sz w:val="28"/>
          <w:szCs w:val="28"/>
        </w:rPr>
        <w:t>Address February</w:t>
      </w:r>
      <w:proofErr w:type="gramEnd"/>
      <w:r w:rsidRPr="00D0204B">
        <w:rPr>
          <w:rFonts w:ascii="Arial" w:hAnsi="Arial" w:cs="Arial"/>
          <w:sz w:val="28"/>
          <w:szCs w:val="28"/>
        </w:rPr>
        <w:t xml:space="preserve"> sales drop with promotional offers and outreach.</w:t>
      </w:r>
    </w:p>
    <w:p w14:paraId="4ED9D403" w14:textId="77777777" w:rsidR="00D0204B" w:rsidRPr="00D0204B" w:rsidRDefault="00D0204B" w:rsidP="00D0204B">
      <w:pPr>
        <w:rPr>
          <w:rFonts w:ascii="Arial" w:hAnsi="Arial" w:cs="Arial"/>
          <w:b/>
          <w:bCs/>
          <w:sz w:val="28"/>
          <w:szCs w:val="28"/>
        </w:rPr>
      </w:pPr>
      <w:r w:rsidRPr="00D0204B">
        <w:rPr>
          <w:rFonts w:ascii="Arial" w:hAnsi="Arial" w:cs="Arial"/>
          <w:b/>
          <w:bCs/>
          <w:sz w:val="28"/>
          <w:szCs w:val="28"/>
        </w:rPr>
        <w:t>Medium-Term (3–6 Months)</w:t>
      </w:r>
    </w:p>
    <w:p w14:paraId="15A75E92" w14:textId="77777777" w:rsidR="00D0204B" w:rsidRPr="00D0204B" w:rsidRDefault="00D0204B" w:rsidP="00D0204B">
      <w:pPr>
        <w:numPr>
          <w:ilvl w:val="0"/>
          <w:numId w:val="17"/>
        </w:numPr>
        <w:rPr>
          <w:rFonts w:ascii="Arial" w:hAnsi="Arial" w:cs="Arial"/>
          <w:sz w:val="28"/>
          <w:szCs w:val="28"/>
        </w:rPr>
      </w:pPr>
      <w:r w:rsidRPr="00D0204B">
        <w:rPr>
          <w:rFonts w:ascii="Arial" w:hAnsi="Arial" w:cs="Arial"/>
          <w:sz w:val="28"/>
          <w:szCs w:val="28"/>
        </w:rPr>
        <w:t>Expand inventory and marketing in California and New York to capture mid-tier state potential.</w:t>
      </w:r>
    </w:p>
    <w:p w14:paraId="50E3B498" w14:textId="77777777" w:rsidR="00D0204B" w:rsidRPr="00D0204B" w:rsidRDefault="00D0204B" w:rsidP="00D0204B">
      <w:pPr>
        <w:numPr>
          <w:ilvl w:val="0"/>
          <w:numId w:val="17"/>
        </w:numPr>
        <w:rPr>
          <w:rFonts w:ascii="Arial" w:hAnsi="Arial" w:cs="Arial"/>
          <w:sz w:val="28"/>
          <w:szCs w:val="28"/>
        </w:rPr>
      </w:pPr>
      <w:r w:rsidRPr="00D0204B">
        <w:rPr>
          <w:rFonts w:ascii="Arial" w:hAnsi="Arial" w:cs="Arial"/>
          <w:sz w:val="28"/>
          <w:szCs w:val="28"/>
        </w:rPr>
        <w:t>Launch state-specific campaigns for Pennsylvania and Arizona to boost visibility and sales.</w:t>
      </w:r>
    </w:p>
    <w:p w14:paraId="4A9415D7" w14:textId="77777777" w:rsidR="00D0204B" w:rsidRPr="00D0204B" w:rsidRDefault="00D0204B" w:rsidP="00D0204B">
      <w:pPr>
        <w:rPr>
          <w:rFonts w:ascii="Arial" w:hAnsi="Arial" w:cs="Arial"/>
          <w:b/>
          <w:bCs/>
          <w:sz w:val="28"/>
          <w:szCs w:val="28"/>
        </w:rPr>
      </w:pPr>
      <w:r w:rsidRPr="00D0204B">
        <w:rPr>
          <w:rFonts w:ascii="Arial" w:hAnsi="Arial" w:cs="Arial"/>
          <w:b/>
          <w:bCs/>
          <w:sz w:val="28"/>
          <w:szCs w:val="28"/>
        </w:rPr>
        <w:t>Long-Term (6–12 Months)</w:t>
      </w:r>
    </w:p>
    <w:p w14:paraId="2E16C527" w14:textId="77777777" w:rsidR="00D0204B" w:rsidRPr="00D0204B" w:rsidRDefault="00D0204B" w:rsidP="00D0204B">
      <w:pPr>
        <w:numPr>
          <w:ilvl w:val="0"/>
          <w:numId w:val="18"/>
        </w:numPr>
        <w:rPr>
          <w:rFonts w:ascii="Arial" w:hAnsi="Arial" w:cs="Arial"/>
          <w:sz w:val="28"/>
          <w:szCs w:val="28"/>
        </w:rPr>
      </w:pPr>
      <w:r w:rsidRPr="00D0204B">
        <w:rPr>
          <w:rFonts w:ascii="Arial" w:hAnsi="Arial" w:cs="Arial"/>
          <w:sz w:val="28"/>
          <w:szCs w:val="28"/>
        </w:rPr>
        <w:t>Diversify property offerings to align with regional demand across all states.</w:t>
      </w:r>
    </w:p>
    <w:p w14:paraId="3A964029" w14:textId="77777777" w:rsidR="00D0204B" w:rsidRPr="00D0204B" w:rsidRDefault="00D0204B" w:rsidP="00D0204B">
      <w:pPr>
        <w:numPr>
          <w:ilvl w:val="0"/>
          <w:numId w:val="18"/>
        </w:numPr>
        <w:rPr>
          <w:rFonts w:ascii="Arial" w:hAnsi="Arial" w:cs="Arial"/>
          <w:sz w:val="28"/>
          <w:szCs w:val="28"/>
        </w:rPr>
      </w:pPr>
      <w:r w:rsidRPr="00D0204B">
        <w:rPr>
          <w:rFonts w:ascii="Arial" w:hAnsi="Arial" w:cs="Arial"/>
          <w:sz w:val="28"/>
          <w:szCs w:val="28"/>
        </w:rPr>
        <w:t>Implement predictive analytics to forecast trends and optimize strategies.</w:t>
      </w:r>
    </w:p>
    <w:p w14:paraId="31283A50" w14:textId="77777777" w:rsidR="00D0204B" w:rsidRPr="00D0204B" w:rsidRDefault="00D0204B" w:rsidP="00D0204B">
      <w:pPr>
        <w:numPr>
          <w:ilvl w:val="0"/>
          <w:numId w:val="18"/>
        </w:numPr>
        <w:rPr>
          <w:rFonts w:ascii="Arial" w:hAnsi="Arial" w:cs="Arial"/>
          <w:sz w:val="28"/>
          <w:szCs w:val="28"/>
        </w:rPr>
      </w:pPr>
      <w:r w:rsidRPr="00D0204B">
        <w:rPr>
          <w:rFonts w:ascii="Arial" w:hAnsi="Arial" w:cs="Arial"/>
          <w:sz w:val="28"/>
          <w:szCs w:val="28"/>
        </w:rPr>
        <w:t>Develop agent-specific training programs to sustain high performance.</w:t>
      </w:r>
    </w:p>
    <w:p w14:paraId="6F51EB99" w14:textId="77777777" w:rsidR="00D0204B" w:rsidRPr="00D0204B" w:rsidRDefault="00D0204B" w:rsidP="00D0204B">
      <w:pPr>
        <w:rPr>
          <w:rFonts w:ascii="Arial" w:hAnsi="Arial" w:cs="Arial"/>
          <w:sz w:val="28"/>
          <w:szCs w:val="28"/>
        </w:rPr>
      </w:pPr>
      <w:r w:rsidRPr="00D0204B">
        <w:rPr>
          <w:rFonts w:ascii="Arial" w:hAnsi="Arial" w:cs="Arial"/>
          <w:sz w:val="28"/>
          <w:szCs w:val="28"/>
        </w:rPr>
        <w:pict w14:anchorId="607F809C">
          <v:rect id="_x0000_i1093" style="width:0;height:1.5pt" o:hralign="center" o:hrstd="t" o:hr="t" fillcolor="#a0a0a0" stroked="f"/>
        </w:pict>
      </w:r>
    </w:p>
    <w:p w14:paraId="34C832EF" w14:textId="77777777" w:rsidR="00D0204B" w:rsidRPr="00D0204B" w:rsidRDefault="00D0204B" w:rsidP="00D0204B">
      <w:pPr>
        <w:rPr>
          <w:rFonts w:ascii="Arial" w:hAnsi="Arial" w:cs="Arial"/>
          <w:b/>
          <w:bCs/>
          <w:sz w:val="28"/>
          <w:szCs w:val="28"/>
        </w:rPr>
      </w:pPr>
      <w:r w:rsidRPr="00D0204B">
        <w:rPr>
          <w:rFonts w:ascii="Arial" w:hAnsi="Arial" w:cs="Arial"/>
          <w:b/>
          <w:bCs/>
          <w:sz w:val="28"/>
          <w:szCs w:val="28"/>
        </w:rPr>
        <w:t>Conclusion</w:t>
      </w:r>
    </w:p>
    <w:p w14:paraId="7F56D975" w14:textId="77777777" w:rsidR="00D0204B" w:rsidRPr="00D0204B" w:rsidRDefault="00D0204B" w:rsidP="00D0204B">
      <w:pPr>
        <w:rPr>
          <w:rFonts w:ascii="Arial" w:hAnsi="Arial" w:cs="Arial"/>
          <w:sz w:val="28"/>
          <w:szCs w:val="28"/>
        </w:rPr>
      </w:pPr>
      <w:r w:rsidRPr="00D0204B">
        <w:rPr>
          <w:rFonts w:ascii="Arial" w:hAnsi="Arial" w:cs="Arial"/>
          <w:sz w:val="28"/>
          <w:szCs w:val="28"/>
        </w:rPr>
        <w:lastRenderedPageBreak/>
        <w:t>Guyus Real Estate excels in leveraging key markets like Texas and delivering strong overall performance. Addressing underperforming states, enhancing property type contributions, and managing seasonality will ensure sustained growth. By prioritizing state-level strategies and predictive analytics, the company can solidify its position as a market leader.</w:t>
      </w:r>
    </w:p>
    <w:p w14:paraId="41E14727" w14:textId="77777777" w:rsidR="00D0204B" w:rsidRPr="00D0204B" w:rsidRDefault="00D0204B" w:rsidP="00D0204B">
      <w:pPr>
        <w:rPr>
          <w:rFonts w:ascii="Arial" w:hAnsi="Arial" w:cs="Arial"/>
          <w:sz w:val="28"/>
          <w:szCs w:val="28"/>
        </w:rPr>
      </w:pPr>
      <w:r w:rsidRPr="00D0204B">
        <w:rPr>
          <w:rFonts w:ascii="Arial" w:hAnsi="Arial" w:cs="Arial"/>
          <w:sz w:val="28"/>
          <w:szCs w:val="28"/>
        </w:rPr>
        <w:pict w14:anchorId="1675B80B">
          <v:rect id="_x0000_i1094" style="width:0;height:1.5pt" o:hralign="center" o:hrstd="t" o:hr="t" fillcolor="#a0a0a0" stroked="f"/>
        </w:pict>
      </w:r>
    </w:p>
    <w:p w14:paraId="241C5609" w14:textId="77777777" w:rsidR="00487C0F" w:rsidRPr="00D0204B" w:rsidRDefault="00487C0F">
      <w:pPr>
        <w:rPr>
          <w:rFonts w:ascii="Arial" w:hAnsi="Arial" w:cs="Arial"/>
          <w:sz w:val="28"/>
          <w:szCs w:val="28"/>
        </w:rPr>
      </w:pPr>
    </w:p>
    <w:sectPr w:rsidR="00487C0F" w:rsidRPr="00D020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04869"/>
    <w:multiLevelType w:val="multilevel"/>
    <w:tmpl w:val="4FB8B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F31E4A"/>
    <w:multiLevelType w:val="multilevel"/>
    <w:tmpl w:val="722A2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A9154C"/>
    <w:multiLevelType w:val="multilevel"/>
    <w:tmpl w:val="8722B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1E189B"/>
    <w:multiLevelType w:val="multilevel"/>
    <w:tmpl w:val="5AF602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DE132A"/>
    <w:multiLevelType w:val="multilevel"/>
    <w:tmpl w:val="C00AD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2931DF"/>
    <w:multiLevelType w:val="multilevel"/>
    <w:tmpl w:val="FE6C0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29648B"/>
    <w:multiLevelType w:val="multilevel"/>
    <w:tmpl w:val="E304BC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840A60"/>
    <w:multiLevelType w:val="multilevel"/>
    <w:tmpl w:val="6AEA2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CC63E4"/>
    <w:multiLevelType w:val="multilevel"/>
    <w:tmpl w:val="CB7604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4DF2575"/>
    <w:multiLevelType w:val="multilevel"/>
    <w:tmpl w:val="71843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BA0892"/>
    <w:multiLevelType w:val="multilevel"/>
    <w:tmpl w:val="06985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DCE77F7"/>
    <w:multiLevelType w:val="multilevel"/>
    <w:tmpl w:val="10D4D9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21E2E1B"/>
    <w:multiLevelType w:val="multilevel"/>
    <w:tmpl w:val="E5C40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6E33E8"/>
    <w:multiLevelType w:val="multilevel"/>
    <w:tmpl w:val="13586B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80D6E96"/>
    <w:multiLevelType w:val="multilevel"/>
    <w:tmpl w:val="5C86D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8756E83"/>
    <w:multiLevelType w:val="multilevel"/>
    <w:tmpl w:val="B50613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AC771D4"/>
    <w:multiLevelType w:val="multilevel"/>
    <w:tmpl w:val="61E03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EC234F9"/>
    <w:multiLevelType w:val="multilevel"/>
    <w:tmpl w:val="EC226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0996383">
    <w:abstractNumId w:val="9"/>
  </w:num>
  <w:num w:numId="2" w16cid:durableId="30963821">
    <w:abstractNumId w:val="3"/>
  </w:num>
  <w:num w:numId="3" w16cid:durableId="596402638">
    <w:abstractNumId w:val="14"/>
  </w:num>
  <w:num w:numId="4" w16cid:durableId="829256184">
    <w:abstractNumId w:val="12"/>
  </w:num>
  <w:num w:numId="5" w16cid:durableId="646596801">
    <w:abstractNumId w:val="1"/>
  </w:num>
  <w:num w:numId="6" w16cid:durableId="128516158">
    <w:abstractNumId w:val="11"/>
  </w:num>
  <w:num w:numId="7" w16cid:durableId="521166643">
    <w:abstractNumId w:val="7"/>
  </w:num>
  <w:num w:numId="8" w16cid:durableId="2071152159">
    <w:abstractNumId w:val="13"/>
  </w:num>
  <w:num w:numId="9" w16cid:durableId="1737699051">
    <w:abstractNumId w:val="5"/>
  </w:num>
  <w:num w:numId="10" w16cid:durableId="2062246505">
    <w:abstractNumId w:val="6"/>
  </w:num>
  <w:num w:numId="11" w16cid:durableId="522592901">
    <w:abstractNumId w:val="16"/>
  </w:num>
  <w:num w:numId="12" w16cid:durableId="109396824">
    <w:abstractNumId w:val="0"/>
  </w:num>
  <w:num w:numId="13" w16cid:durableId="1785929149">
    <w:abstractNumId w:val="8"/>
  </w:num>
  <w:num w:numId="14" w16cid:durableId="1590194793">
    <w:abstractNumId w:val="4"/>
  </w:num>
  <w:num w:numId="15" w16cid:durableId="280958504">
    <w:abstractNumId w:val="15"/>
  </w:num>
  <w:num w:numId="16" w16cid:durableId="1730614452">
    <w:abstractNumId w:val="2"/>
  </w:num>
  <w:num w:numId="17" w16cid:durableId="1185290933">
    <w:abstractNumId w:val="17"/>
  </w:num>
  <w:num w:numId="18" w16cid:durableId="152109237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04B"/>
    <w:rsid w:val="0031592A"/>
    <w:rsid w:val="00487C0F"/>
    <w:rsid w:val="007E585C"/>
    <w:rsid w:val="00D020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90592"/>
  <w15:chartTrackingRefBased/>
  <w15:docId w15:val="{5FEF6918-BDCB-4C66-ACD0-354ABFC43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204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0204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0204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0204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0204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020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20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20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20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204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0204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0204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0204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0204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020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20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20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204B"/>
    <w:rPr>
      <w:rFonts w:eastAsiaTheme="majorEastAsia" w:cstheme="majorBidi"/>
      <w:color w:val="272727" w:themeColor="text1" w:themeTint="D8"/>
    </w:rPr>
  </w:style>
  <w:style w:type="paragraph" w:styleId="Title">
    <w:name w:val="Title"/>
    <w:basedOn w:val="Normal"/>
    <w:next w:val="Normal"/>
    <w:link w:val="TitleChar"/>
    <w:uiPriority w:val="10"/>
    <w:qFormat/>
    <w:rsid w:val="00D020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20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20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20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204B"/>
    <w:pPr>
      <w:spacing w:before="160"/>
      <w:jc w:val="center"/>
    </w:pPr>
    <w:rPr>
      <w:i/>
      <w:iCs/>
      <w:color w:val="404040" w:themeColor="text1" w:themeTint="BF"/>
    </w:rPr>
  </w:style>
  <w:style w:type="character" w:customStyle="1" w:styleId="QuoteChar">
    <w:name w:val="Quote Char"/>
    <w:basedOn w:val="DefaultParagraphFont"/>
    <w:link w:val="Quote"/>
    <w:uiPriority w:val="29"/>
    <w:rsid w:val="00D0204B"/>
    <w:rPr>
      <w:i/>
      <w:iCs/>
      <w:color w:val="404040" w:themeColor="text1" w:themeTint="BF"/>
    </w:rPr>
  </w:style>
  <w:style w:type="paragraph" w:styleId="ListParagraph">
    <w:name w:val="List Paragraph"/>
    <w:basedOn w:val="Normal"/>
    <w:uiPriority w:val="34"/>
    <w:qFormat/>
    <w:rsid w:val="00D0204B"/>
    <w:pPr>
      <w:ind w:left="720"/>
      <w:contextualSpacing/>
    </w:pPr>
  </w:style>
  <w:style w:type="character" w:styleId="IntenseEmphasis">
    <w:name w:val="Intense Emphasis"/>
    <w:basedOn w:val="DefaultParagraphFont"/>
    <w:uiPriority w:val="21"/>
    <w:qFormat/>
    <w:rsid w:val="00D0204B"/>
    <w:rPr>
      <w:i/>
      <w:iCs/>
      <w:color w:val="2F5496" w:themeColor="accent1" w:themeShade="BF"/>
    </w:rPr>
  </w:style>
  <w:style w:type="paragraph" w:styleId="IntenseQuote">
    <w:name w:val="Intense Quote"/>
    <w:basedOn w:val="Normal"/>
    <w:next w:val="Normal"/>
    <w:link w:val="IntenseQuoteChar"/>
    <w:uiPriority w:val="30"/>
    <w:qFormat/>
    <w:rsid w:val="00D0204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0204B"/>
    <w:rPr>
      <w:i/>
      <w:iCs/>
      <w:color w:val="2F5496" w:themeColor="accent1" w:themeShade="BF"/>
    </w:rPr>
  </w:style>
  <w:style w:type="character" w:styleId="IntenseReference">
    <w:name w:val="Intense Reference"/>
    <w:basedOn w:val="DefaultParagraphFont"/>
    <w:uiPriority w:val="32"/>
    <w:qFormat/>
    <w:rsid w:val="00D0204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5616033">
      <w:bodyDiv w:val="1"/>
      <w:marLeft w:val="0"/>
      <w:marRight w:val="0"/>
      <w:marTop w:val="0"/>
      <w:marBottom w:val="0"/>
      <w:divBdr>
        <w:top w:val="none" w:sz="0" w:space="0" w:color="auto"/>
        <w:left w:val="none" w:sz="0" w:space="0" w:color="auto"/>
        <w:bottom w:val="none" w:sz="0" w:space="0" w:color="auto"/>
        <w:right w:val="none" w:sz="0" w:space="0" w:color="auto"/>
      </w:divBdr>
      <w:divsChild>
        <w:div w:id="138808407">
          <w:marLeft w:val="0"/>
          <w:marRight w:val="0"/>
          <w:marTop w:val="0"/>
          <w:marBottom w:val="0"/>
          <w:divBdr>
            <w:top w:val="none" w:sz="0" w:space="0" w:color="auto"/>
            <w:left w:val="none" w:sz="0" w:space="0" w:color="auto"/>
            <w:bottom w:val="none" w:sz="0" w:space="0" w:color="auto"/>
            <w:right w:val="none" w:sz="0" w:space="0" w:color="auto"/>
          </w:divBdr>
        </w:div>
        <w:div w:id="1703284535">
          <w:marLeft w:val="0"/>
          <w:marRight w:val="0"/>
          <w:marTop w:val="0"/>
          <w:marBottom w:val="0"/>
          <w:divBdr>
            <w:top w:val="none" w:sz="0" w:space="0" w:color="auto"/>
            <w:left w:val="none" w:sz="0" w:space="0" w:color="auto"/>
            <w:bottom w:val="none" w:sz="0" w:space="0" w:color="auto"/>
            <w:right w:val="none" w:sz="0" w:space="0" w:color="auto"/>
          </w:divBdr>
        </w:div>
        <w:div w:id="2023238616">
          <w:marLeft w:val="0"/>
          <w:marRight w:val="0"/>
          <w:marTop w:val="0"/>
          <w:marBottom w:val="0"/>
          <w:divBdr>
            <w:top w:val="none" w:sz="0" w:space="0" w:color="auto"/>
            <w:left w:val="none" w:sz="0" w:space="0" w:color="auto"/>
            <w:bottom w:val="none" w:sz="0" w:space="0" w:color="auto"/>
            <w:right w:val="none" w:sz="0" w:space="0" w:color="auto"/>
          </w:divBdr>
        </w:div>
        <w:div w:id="630474892">
          <w:marLeft w:val="0"/>
          <w:marRight w:val="0"/>
          <w:marTop w:val="0"/>
          <w:marBottom w:val="0"/>
          <w:divBdr>
            <w:top w:val="none" w:sz="0" w:space="0" w:color="auto"/>
            <w:left w:val="none" w:sz="0" w:space="0" w:color="auto"/>
            <w:bottom w:val="none" w:sz="0" w:space="0" w:color="auto"/>
            <w:right w:val="none" w:sz="0" w:space="0" w:color="auto"/>
          </w:divBdr>
        </w:div>
        <w:div w:id="528374405">
          <w:marLeft w:val="0"/>
          <w:marRight w:val="0"/>
          <w:marTop w:val="0"/>
          <w:marBottom w:val="0"/>
          <w:divBdr>
            <w:top w:val="none" w:sz="0" w:space="0" w:color="auto"/>
            <w:left w:val="none" w:sz="0" w:space="0" w:color="auto"/>
            <w:bottom w:val="none" w:sz="0" w:space="0" w:color="auto"/>
            <w:right w:val="none" w:sz="0" w:space="0" w:color="auto"/>
          </w:divBdr>
        </w:div>
        <w:div w:id="112944209">
          <w:marLeft w:val="0"/>
          <w:marRight w:val="0"/>
          <w:marTop w:val="0"/>
          <w:marBottom w:val="0"/>
          <w:divBdr>
            <w:top w:val="none" w:sz="0" w:space="0" w:color="auto"/>
            <w:left w:val="none" w:sz="0" w:space="0" w:color="auto"/>
            <w:bottom w:val="none" w:sz="0" w:space="0" w:color="auto"/>
            <w:right w:val="none" w:sz="0" w:space="0" w:color="auto"/>
          </w:divBdr>
        </w:div>
        <w:div w:id="1090471072">
          <w:marLeft w:val="0"/>
          <w:marRight w:val="0"/>
          <w:marTop w:val="0"/>
          <w:marBottom w:val="0"/>
          <w:divBdr>
            <w:top w:val="none" w:sz="0" w:space="0" w:color="auto"/>
            <w:left w:val="none" w:sz="0" w:space="0" w:color="auto"/>
            <w:bottom w:val="none" w:sz="0" w:space="0" w:color="auto"/>
            <w:right w:val="none" w:sz="0" w:space="0" w:color="auto"/>
          </w:divBdr>
        </w:div>
        <w:div w:id="189607276">
          <w:marLeft w:val="0"/>
          <w:marRight w:val="0"/>
          <w:marTop w:val="0"/>
          <w:marBottom w:val="0"/>
          <w:divBdr>
            <w:top w:val="none" w:sz="0" w:space="0" w:color="auto"/>
            <w:left w:val="none" w:sz="0" w:space="0" w:color="auto"/>
            <w:bottom w:val="none" w:sz="0" w:space="0" w:color="auto"/>
            <w:right w:val="none" w:sz="0" w:space="0" w:color="auto"/>
          </w:divBdr>
        </w:div>
        <w:div w:id="2139950856">
          <w:marLeft w:val="0"/>
          <w:marRight w:val="0"/>
          <w:marTop w:val="0"/>
          <w:marBottom w:val="0"/>
          <w:divBdr>
            <w:top w:val="none" w:sz="0" w:space="0" w:color="auto"/>
            <w:left w:val="none" w:sz="0" w:space="0" w:color="auto"/>
            <w:bottom w:val="none" w:sz="0" w:space="0" w:color="auto"/>
            <w:right w:val="none" w:sz="0" w:space="0" w:color="auto"/>
          </w:divBdr>
        </w:div>
        <w:div w:id="553585386">
          <w:marLeft w:val="0"/>
          <w:marRight w:val="0"/>
          <w:marTop w:val="0"/>
          <w:marBottom w:val="0"/>
          <w:divBdr>
            <w:top w:val="none" w:sz="0" w:space="0" w:color="auto"/>
            <w:left w:val="none" w:sz="0" w:space="0" w:color="auto"/>
            <w:bottom w:val="none" w:sz="0" w:space="0" w:color="auto"/>
            <w:right w:val="none" w:sz="0" w:space="0" w:color="auto"/>
          </w:divBdr>
        </w:div>
      </w:divsChild>
    </w:div>
    <w:div w:id="1779328660">
      <w:bodyDiv w:val="1"/>
      <w:marLeft w:val="0"/>
      <w:marRight w:val="0"/>
      <w:marTop w:val="0"/>
      <w:marBottom w:val="0"/>
      <w:divBdr>
        <w:top w:val="none" w:sz="0" w:space="0" w:color="auto"/>
        <w:left w:val="none" w:sz="0" w:space="0" w:color="auto"/>
        <w:bottom w:val="none" w:sz="0" w:space="0" w:color="auto"/>
        <w:right w:val="none" w:sz="0" w:space="0" w:color="auto"/>
      </w:divBdr>
      <w:divsChild>
        <w:div w:id="1313212090">
          <w:marLeft w:val="0"/>
          <w:marRight w:val="0"/>
          <w:marTop w:val="0"/>
          <w:marBottom w:val="0"/>
          <w:divBdr>
            <w:top w:val="none" w:sz="0" w:space="0" w:color="auto"/>
            <w:left w:val="none" w:sz="0" w:space="0" w:color="auto"/>
            <w:bottom w:val="none" w:sz="0" w:space="0" w:color="auto"/>
            <w:right w:val="none" w:sz="0" w:space="0" w:color="auto"/>
          </w:divBdr>
        </w:div>
        <w:div w:id="466046243">
          <w:marLeft w:val="0"/>
          <w:marRight w:val="0"/>
          <w:marTop w:val="0"/>
          <w:marBottom w:val="0"/>
          <w:divBdr>
            <w:top w:val="none" w:sz="0" w:space="0" w:color="auto"/>
            <w:left w:val="none" w:sz="0" w:space="0" w:color="auto"/>
            <w:bottom w:val="none" w:sz="0" w:space="0" w:color="auto"/>
            <w:right w:val="none" w:sz="0" w:space="0" w:color="auto"/>
          </w:divBdr>
        </w:div>
        <w:div w:id="1045064681">
          <w:marLeft w:val="0"/>
          <w:marRight w:val="0"/>
          <w:marTop w:val="0"/>
          <w:marBottom w:val="0"/>
          <w:divBdr>
            <w:top w:val="none" w:sz="0" w:space="0" w:color="auto"/>
            <w:left w:val="none" w:sz="0" w:space="0" w:color="auto"/>
            <w:bottom w:val="none" w:sz="0" w:space="0" w:color="auto"/>
            <w:right w:val="none" w:sz="0" w:space="0" w:color="auto"/>
          </w:divBdr>
        </w:div>
        <w:div w:id="1889801135">
          <w:marLeft w:val="0"/>
          <w:marRight w:val="0"/>
          <w:marTop w:val="0"/>
          <w:marBottom w:val="0"/>
          <w:divBdr>
            <w:top w:val="none" w:sz="0" w:space="0" w:color="auto"/>
            <w:left w:val="none" w:sz="0" w:space="0" w:color="auto"/>
            <w:bottom w:val="none" w:sz="0" w:space="0" w:color="auto"/>
            <w:right w:val="none" w:sz="0" w:space="0" w:color="auto"/>
          </w:divBdr>
        </w:div>
        <w:div w:id="1506824271">
          <w:marLeft w:val="0"/>
          <w:marRight w:val="0"/>
          <w:marTop w:val="0"/>
          <w:marBottom w:val="0"/>
          <w:divBdr>
            <w:top w:val="none" w:sz="0" w:space="0" w:color="auto"/>
            <w:left w:val="none" w:sz="0" w:space="0" w:color="auto"/>
            <w:bottom w:val="none" w:sz="0" w:space="0" w:color="auto"/>
            <w:right w:val="none" w:sz="0" w:space="0" w:color="auto"/>
          </w:divBdr>
        </w:div>
        <w:div w:id="336081566">
          <w:marLeft w:val="0"/>
          <w:marRight w:val="0"/>
          <w:marTop w:val="0"/>
          <w:marBottom w:val="0"/>
          <w:divBdr>
            <w:top w:val="none" w:sz="0" w:space="0" w:color="auto"/>
            <w:left w:val="none" w:sz="0" w:space="0" w:color="auto"/>
            <w:bottom w:val="none" w:sz="0" w:space="0" w:color="auto"/>
            <w:right w:val="none" w:sz="0" w:space="0" w:color="auto"/>
          </w:divBdr>
        </w:div>
        <w:div w:id="125778248">
          <w:marLeft w:val="0"/>
          <w:marRight w:val="0"/>
          <w:marTop w:val="0"/>
          <w:marBottom w:val="0"/>
          <w:divBdr>
            <w:top w:val="none" w:sz="0" w:space="0" w:color="auto"/>
            <w:left w:val="none" w:sz="0" w:space="0" w:color="auto"/>
            <w:bottom w:val="none" w:sz="0" w:space="0" w:color="auto"/>
            <w:right w:val="none" w:sz="0" w:space="0" w:color="auto"/>
          </w:divBdr>
        </w:div>
        <w:div w:id="888372900">
          <w:marLeft w:val="0"/>
          <w:marRight w:val="0"/>
          <w:marTop w:val="0"/>
          <w:marBottom w:val="0"/>
          <w:divBdr>
            <w:top w:val="none" w:sz="0" w:space="0" w:color="auto"/>
            <w:left w:val="none" w:sz="0" w:space="0" w:color="auto"/>
            <w:bottom w:val="none" w:sz="0" w:space="0" w:color="auto"/>
            <w:right w:val="none" w:sz="0" w:space="0" w:color="auto"/>
          </w:divBdr>
        </w:div>
        <w:div w:id="122969901">
          <w:marLeft w:val="0"/>
          <w:marRight w:val="0"/>
          <w:marTop w:val="0"/>
          <w:marBottom w:val="0"/>
          <w:divBdr>
            <w:top w:val="none" w:sz="0" w:space="0" w:color="auto"/>
            <w:left w:val="none" w:sz="0" w:space="0" w:color="auto"/>
            <w:bottom w:val="none" w:sz="0" w:space="0" w:color="auto"/>
            <w:right w:val="none" w:sz="0" w:space="0" w:color="auto"/>
          </w:divBdr>
        </w:div>
        <w:div w:id="16996209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6</Pages>
  <Words>863</Words>
  <Characters>4922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Augustine Ogbonnah</dc:creator>
  <cp:keywords/>
  <dc:description/>
  <cp:lastModifiedBy>Augustine Ogbonnah</cp:lastModifiedBy>
  <cp:revision>1</cp:revision>
  <cp:lastPrinted>2024-12-13T23:21:00Z</cp:lastPrinted>
  <dcterms:created xsi:type="dcterms:W3CDTF">2024-12-13T22:43:00Z</dcterms:created>
  <dcterms:modified xsi:type="dcterms:W3CDTF">2024-12-13T23:21:00Z</dcterms:modified>
</cp:coreProperties>
</file>