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Gamma Basketball Betting Guide</w:t>
      </w:r>
    </w:p>
    <w:p>
      <w:r>
        <w:t>You can bet on basketball matches at Gamma. Your bets are processed instantly here.</w:t>
      </w:r>
    </w:p>
    <w:p>
      <w:pPr>
        <w:pStyle w:val="Heading2"/>
      </w:pPr>
      <w:r>
        <w:t>Available Markets</w:t>
      </w:r>
    </w:p>
    <w:p>
      <w:r>
        <w:t>You have many basketball betting options available. You can bet on match winners and more.</w:t>
      </w:r>
    </w:p>
    <w:p>
      <w:r>
        <w:t>However, you should check the odds first. You will find competitive prices here.</w:t>
      </w:r>
    </w:p>
    <w:p>
      <w:pPr>
        <w:pStyle w:val="Heading2"/>
      </w:pPr>
      <w:r>
        <w:t>Live Betting</w:t>
      </w:r>
    </w:p>
    <w:p>
      <w:r>
        <w:t>You can place live bets during basketball events. Your bets are settled quickly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