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top w:val="single" w:color="C8102E" w:sz="24" w:space="8"/>
        </w:pBdr>
        <w:spacing w:after="100"/>
      </w:pPr>
    </w:p>
    <w:p>
      <w:pPr>
        <w:spacing w:after="100" w:before="200"/>
        <w:jc w:val="center"/>
      </w:pPr>
      <w:r>
        <w:rPr>
          <w:rFonts w:ascii="Arial" w:cs="Arial" w:eastAsia="Arial" w:hAnsi="Arial"/>
          <w:b/>
          <w:bCs/>
          <w:color w:val="C8102E"/>
          <w:spacing w:val="40"/>
          <w:sz w:val="18"/>
          <w:szCs w:val="18"/>
        </w:rPr>
        <w:t xml:space="preserve">T   R   I   P   T   Y   Q   C   A   P   I   T   A   L</w:t>
      </w:r>
    </w:p>
    <w:p>
      <w:pPr>
        <w:spacing w:after="100" w:before="400"/>
        <w:jc w:val="center"/>
      </w:pPr>
      <w:r>
        <w:rPr>
          <w:rFonts w:ascii="Arial" w:cs="Arial" w:eastAsia="Arial" w:hAnsi="Arial"/>
          <w:b/>
          <w:bCs/>
          <w:color w:val="1A1A1A"/>
          <w:sz w:val="56"/>
          <w:szCs w:val="56"/>
        </w:rPr>
        <w:t xml:space="preserve">INVESTMENT </w:t>
      </w:r>
      <w:r>
        <w:rPr>
          <w:rFonts w:ascii="Arial" w:cs="Arial" w:eastAsia="Arial" w:hAnsi="Arial"/>
          <w:b/>
          <w:bCs/>
          <w:color w:val="C8102E"/>
          <w:sz w:val="56"/>
          <w:szCs w:val="56"/>
        </w:rPr>
        <w:t xml:space="preserve">MEMO</w:t>
      </w:r>
    </w:p>
    <w:p>
      <w:pPr>
        <w:spacing w:after="100" w:before="200"/>
        <w:jc w:val="center"/>
      </w:pPr>
      <w:r>
        <w:rPr>
          <w:rFonts w:ascii="Arial" w:cs="Arial" w:eastAsia="Arial" w:hAnsi="Arial"/>
          <w:b/>
          <w:bCs/>
          <w:color w:val="1A1A1A"/>
          <w:sz w:val="28"/>
          <w:szCs w:val="28"/>
        </w:rPr>
        <w:t xml:space="preserve">CALDER PTE. LTD.</w:t>
      </w:r>
    </w:p>
    <w:p>
      <w:pPr>
        <w:spacing w:after="400" w:before="100"/>
        <w:jc w:val="center"/>
      </w:pPr>
      <w:r>
        <w:rPr>
          <w:rFonts w:ascii="Georgia" w:cs="Georgia" w:eastAsia="Georgia" w:hAnsi="Georgia"/>
          <w:i/>
          <w:iCs/>
          <w:color w:val="666666"/>
          <w:sz w:val="24"/>
          <w:szCs w:val="24"/>
        </w:rPr>
        <w:t xml:space="preserve">The Data Layer for the World Model Era</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C8102E"/>
                <w:spacing w:val="60"/>
                <w:sz w:val="16"/>
                <w:szCs w:val="16"/>
              </w:rPr>
              <w:t xml:space="preserve">ROUND</w:t>
            </w:r>
          </w:p>
        </w:tc>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Georgia" w:cs="Georgia" w:eastAsia="Georgia" w:hAnsi="Georgia"/>
                <w:color w:val="2D2D2D"/>
                <w:sz w:val="18"/>
                <w:szCs w:val="18"/>
              </w:rPr>
              <w:t xml:space="preserve">Series Seed</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C8102E"/>
                <w:spacing w:val="60"/>
                <w:sz w:val="16"/>
                <w:szCs w:val="16"/>
              </w:rPr>
              <w:t xml:space="preserve">PRE-MONEY</w:t>
            </w:r>
          </w:p>
        </w:tc>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Georgia" w:cs="Georgia" w:eastAsia="Georgia" w:hAnsi="Georgia"/>
                <w:color w:val="2D2D2D"/>
                <w:sz w:val="18"/>
                <w:szCs w:val="18"/>
              </w:rPr>
              <w:t xml:space="preserve">$500M</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C8102E"/>
                <w:spacing w:val="60"/>
                <w:sz w:val="16"/>
                <w:szCs w:val="16"/>
              </w:rPr>
              <w:t xml:space="preserve">LEAD INVESTOR</w:t>
            </w:r>
          </w:p>
        </w:tc>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Georgia" w:cs="Georgia" w:eastAsia="Georgia" w:hAnsi="Georgia"/>
                <w:color w:val="2D2D2D"/>
                <w:sz w:val="18"/>
                <w:szCs w:val="18"/>
              </w:rPr>
              <w:t xml:space="preserve">a16z (Fund IX)</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C8102E"/>
                <w:spacing w:val="60"/>
                <w:sz w:val="16"/>
                <w:szCs w:val="16"/>
              </w:rPr>
              <w:t xml:space="preserve">NEW MONEY</w:t>
            </w:r>
          </w:p>
        </w:tc>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Georgia" w:cs="Georgia" w:eastAsia="Georgia" w:hAnsi="Georgia"/>
                <w:color w:val="2D2D2D"/>
                <w:sz w:val="18"/>
                <w:szCs w:val="18"/>
              </w:rPr>
              <w:t xml:space="preserve">$90M</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C8102E"/>
                <w:spacing w:val="60"/>
                <w:sz w:val="16"/>
                <w:szCs w:val="16"/>
              </w:rPr>
              <w:t xml:space="preserve">TOTAL ROUND</w:t>
            </w:r>
          </w:p>
        </w:tc>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Georgia" w:cs="Georgia" w:eastAsia="Georgia" w:hAnsi="Georgia"/>
                <w:color w:val="2D2D2D"/>
                <w:sz w:val="18"/>
                <w:szCs w:val="18"/>
              </w:rPr>
              <w:t xml:space="preserve">$100M (incl. SAFE)</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C8102E"/>
                <w:spacing w:val="60"/>
                <w:sz w:val="16"/>
                <w:szCs w:val="16"/>
              </w:rPr>
              <w:t xml:space="preserve">RECOMMENDATION</w:t>
            </w:r>
          </w:p>
        </w:tc>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Georgia" w:cs="Georgia" w:eastAsia="Georgia" w:hAnsi="Georgia"/>
                <w:color w:val="2D2D2D"/>
                <w:sz w:val="18"/>
                <w:szCs w:val="18"/>
              </w:rPr>
              <w:t xml:space="preserve">STRONG PROCEED</w:t>
            </w:r>
          </w:p>
        </w:tc>
      </w:tr>
    </w:tbl>
    <w:p>
      <w:pPr>
        <w:spacing w:before="600"/>
      </w:pPr>
    </w:p>
    <w:p>
      <w:pPr>
        <w:jc w:val="center"/>
      </w:pPr>
      <w:r>
        <w:rPr>
          <w:rFonts w:ascii="Arial" w:cs="Arial" w:eastAsia="Arial" w:hAnsi="Arial"/>
          <w:color w:val="999999"/>
          <w:spacing w:val="80"/>
          <w:sz w:val="14"/>
          <w:szCs w:val="14"/>
        </w:rPr>
        <w:t xml:space="preserve">STRICTLY CONFIDENTIAL</w:t>
      </w:r>
    </w:p>
    <w:p>
      <w:pPr>
        <w:spacing w:before="100"/>
        <w:jc w:val="center"/>
      </w:pPr>
      <w:r>
        <w:rPr>
          <w:rFonts w:ascii="Georgia" w:cs="Georgia" w:eastAsia="Georgia" w:hAnsi="Georgia"/>
          <w:i/>
          <w:iCs/>
          <w:color w:val="999999"/>
          <w:sz w:val="16"/>
          <w:szCs w:val="16"/>
        </w:rPr>
        <w:t xml:space="preserve">Prepared April 10, 2026</w:t>
      </w:r>
    </w:p>
    <w:p>
      <w:pPr>
        <w:pBdr>
          <w:bottom w:val="single" w:color="C8102E" w:sz="24" w:space="8"/>
        </w:pBdr>
        <w:spacing w:before="200"/>
      </w:pPr>
    </w:p>
    <w:p>
      <w:pPr>
        <w:sectPr>
          <w:pgSz w:w="12240" w:h="15840" w:orient="portrait"/>
          <w:pgMar w:top="1440" w:right="1440" w:bottom="1440" w:left="1440" w:header="708" w:footer="708" w:gutter="0"/>
          <w:pgNumType/>
          <w:docGrid w:linePitch="360"/>
        </w:sectPr>
      </w:pPr>
    </w:p>
    <w:p>
      <w:pPr>
        <w:spacing w:after="200" w:before="100"/>
      </w:pPr>
      <w:r>
        <w:rPr>
          <w:rFonts w:ascii="Arial" w:cs="Arial" w:eastAsia="Arial" w:hAnsi="Arial"/>
          <w:b/>
          <w:bCs/>
          <w:color w:val="C8102E"/>
          <w:spacing w:val="80"/>
          <w:sz w:val="26"/>
          <w:szCs w:val="26"/>
        </w:rPr>
        <w:t xml:space="preserve">THE CONVICTION</w:t>
      </w:r>
    </w:p>
    <w:p>
      <w:pPr>
        <w:pBdr>
          <w:bottom w:val="single" w:color="C8102E" w:sz="12" w:space="1"/>
        </w:pBdr>
        <w:spacing w:after="200" w:before="200"/>
      </w:pPr>
    </w:p>
    <w:p>
      <w:pPr>
        <w:pBdr>
          <w:left w:val="single" w:color="C8102E" w:sz="24" w:space="8"/>
        </w:pBdr>
        <w:spacing w:after="300" w:before="300" w:line="340"/>
        <w:ind w:left="600"/>
        <w:jc w:val="left"/>
      </w:pPr>
      <w:r>
        <w:rPr>
          <w:rFonts w:ascii="Georgia" w:cs="Georgia" w:eastAsia="Georgia" w:hAnsi="Georgia"/>
          <w:i/>
          <w:iCs/>
          <w:color w:val="C8102E"/>
          <w:sz w:val="24"/>
          <w:szCs w:val="24"/>
        </w:rPr>
        <w:t xml:space="preserve">“Software ate the world. AI ate software. Now world models will eat reality. And every world model needs to eat data first.”</w:t>
      </w:r>
    </w:p>
    <w:p>
      <w:pPr>
        <w:spacing w:after="200" w:line="300"/>
        <w:jc w:val="both"/>
      </w:pPr>
      <w:hyperlink w:history="1" r:id="rId5caf9hwj1wwjlpoii4k7f">
        <w:r>
          <w:rPr>
            <w:rFonts w:ascii="Georgia" w:cs="Georgia" w:eastAsia="Georgia" w:hAnsi="Georgia"/>
            <w:color w:val="0563C1"/>
            <w:sz w:val="21"/>
            <w:szCs w:val="21"/>
            <w:u w:val="single"/>
          </w:rPr>
          <w:t xml:space="preserve">World models</w:t>
        </w:r>
      </w:hyperlink>
      <w:r>
        <w:rPr>
          <w:rFonts w:ascii="Georgia" w:cs="Georgia" w:eastAsia="Georgia" w:hAnsi="Georgia"/>
          <w:color w:val="2D2D2D"/>
          <w:sz w:val="21"/>
          <w:szCs w:val="21"/>
        </w:rPr>
        <w:t xml:space="preserve"> are the next foundational layer of AI. They simulate reality — physics, space, objects, causality. They are the enabling technology for robotics, autonomous vehicles, spatial computing, and next-generation entertainment.</w:t>
      </w:r>
    </w:p>
    <w:p>
      <w:pPr>
        <w:spacing w:after="200" w:line="300"/>
        <w:jc w:val="both"/>
      </w:pPr>
      <w:r>
        <w:rPr>
          <w:rFonts w:ascii="Georgia" w:cs="Georgia" w:eastAsia="Georgia" w:hAnsi="Georgia"/>
          <w:color w:val="2D2D2D"/>
          <w:sz w:val="21"/>
          <w:szCs w:val="21"/>
        </w:rPr>
        <w:t xml:space="preserve">The bottleneck: world models are data-starved. LLMs trained on the entire internet. World models need the entire physical world. The infrastructure to capture, structure, and deliver that data at scale does not yet exist.</w:t>
      </w:r>
    </w:p>
    <w:p>
      <w:pPr>
        <w:spacing w:after="200" w:line="300"/>
        <w:jc w:val="both"/>
      </w:pPr>
      <w:r>
        <w:rPr>
          <w:rFonts w:ascii="Georgia" w:cs="Georgia" w:eastAsia="Georgia" w:hAnsi="Georgia"/>
          <w:color w:val="2D2D2D"/>
          <w:sz w:val="21"/>
          <w:szCs w:val="21"/>
        </w:rPr>
        <w:t xml:space="preserve">Calder is building that infrastructure — the data pipeline for the </w:t>
      </w:r>
      <w:hyperlink w:history="1" r:id="rIdfoka8lriizocwowyl5yi-">
        <w:r>
          <w:rPr>
            <w:rFonts w:ascii="Georgia" w:cs="Georgia" w:eastAsia="Georgia" w:hAnsi="Georgia"/>
            <w:color w:val="0563C1"/>
            <w:sz w:val="21"/>
            <w:szCs w:val="21"/>
            <w:u w:val="single"/>
          </w:rPr>
          <w:t xml:space="preserve">world model</w:t>
        </w:r>
      </w:hyperlink>
      <w:r>
        <w:rPr>
          <w:rFonts w:ascii="Georgia" w:cs="Georgia" w:eastAsia="Georgia" w:hAnsi="Georgia"/>
          <w:color w:val="2D2D2D"/>
          <w:sz w:val="21"/>
          <w:szCs w:val="21"/>
        </w:rPr>
        <w:t xml:space="preserve"> ecosystem.</w:t>
      </w:r>
    </w:p>
    <w:p>
      <w:pPr>
        <w:spacing w:after="150" w:before="200"/>
      </w:pPr>
      <w:r>
        <w:rPr>
          <w:rFonts w:ascii="Arial" w:cs="Arial" w:eastAsia="Arial" w:hAnsi="Arial"/>
          <w:b/>
          <w:bCs/>
          <w:color w:val="1A1A1A"/>
          <w:sz w:val="22"/>
          <w:szCs w:val="22"/>
        </w:rPr>
        <w:t xml:space="preserve">Why This Maps to Thesis</w:t>
      </w:r>
    </w:p>
    <w:p>
      <w:pPr>
        <w:spacing w:after="200" w:line="300"/>
        <w:jc w:val="both"/>
      </w:pPr>
      <w:r>
        <w:rPr>
          <w:rFonts w:ascii="Georgia" w:cs="Georgia" w:eastAsia="Georgia" w:hAnsi="Georgia"/>
          <w:color w:val="2D2D2D"/>
          <w:sz w:val="21"/>
          <w:szCs w:val="21"/>
        </w:rPr>
        <w:t xml:space="preserve">Triptyq invests at the intersection of entertainment, spatial computing, and AI. World models sit at the convergence of all three. The addressable market for world models in entertainment alone could reach $276B by 2030. Calder’s data infrastructure is directly in our investment mandate.</w:t>
      </w:r>
    </w:p>
    <w:p>
      <w:r>
        <w:br w:type="page"/>
      </w:r>
    </w:p>
    <w:p>
      <w:pPr>
        <w:spacing w:after="200" w:before="100"/>
      </w:pPr>
      <w:r>
        <w:rPr>
          <w:rFonts w:ascii="Arial" w:cs="Arial" w:eastAsia="Arial" w:hAnsi="Arial"/>
          <w:b/>
          <w:bCs/>
          <w:color w:val="C8102E"/>
          <w:spacing w:val="80"/>
          <w:sz w:val="26"/>
          <w:szCs w:val="26"/>
        </w:rPr>
        <w:t xml:space="preserve">THE COMPANY</w:t>
      </w:r>
    </w:p>
    <w:p>
      <w:pPr>
        <w:pBdr>
          <w:bottom w:val="single" w:color="C8102E" w:sz="12" w:space="1"/>
        </w:pBdr>
        <w:spacing w:after="200" w:before="200"/>
      </w:pPr>
    </w:p>
    <w:p>
      <w:pPr>
        <w:spacing w:after="200" w:line="300"/>
        <w:jc w:val="both"/>
      </w:pPr>
      <w:r>
        <w:rPr>
          <w:rFonts w:ascii="Georgia" w:cs="Georgia" w:eastAsia="Georgia" w:hAnsi="Georgia"/>
          <w:color w:val="2D2D2D"/>
          <w:sz w:val="21"/>
          <w:szCs w:val="21"/>
        </w:rPr>
        <w:t xml:space="preserve">Calder Pte. Ltd. (Singapore, Delaware subsidiary) builds foundational data infrastructure for </w:t>
      </w:r>
      <w:hyperlink w:history="1" r:id="rIdt6908xlhtuubd297ywpgn">
        <w:r>
          <w:rPr>
            <w:rFonts w:ascii="Georgia" w:cs="Georgia" w:eastAsia="Georgia" w:hAnsi="Georgia"/>
            <w:color w:val="0563C1"/>
            <w:sz w:val="21"/>
            <w:szCs w:val="21"/>
            <w:u w:val="single"/>
          </w:rPr>
          <w:t xml:space="preserve">Physical AI</w:t>
        </w:r>
      </w:hyperlink>
      <w:r>
        <w:rPr>
          <w:rFonts w:ascii="Georgia" w:cs="Georgia" w:eastAsia="Georgia" w:hAnsi="Georgia"/>
          <w:color w:val="2D2D2D"/>
          <w:sz w:val="21"/>
          <w:szCs w:val="21"/>
        </w:rPr>
        <w:t xml:space="preserve"> and world models. Founded January 2026 by four repeat founders with eight combined exits to Apple, NVIDIA, Rakuten, and Google. Production-grade tech stack from day one.</w:t>
      </w:r>
    </w:p>
    <w:p>
      <w:pPr>
        <w:spacing w:after="150" w:before="200"/>
      </w:pPr>
      <w:r>
        <w:rPr>
          <w:rFonts w:ascii="Arial" w:cs="Arial" w:eastAsia="Arial" w:hAnsi="Arial"/>
          <w:b/>
          <w:bCs/>
          <w:color w:val="1A1A1A"/>
          <w:sz w:val="22"/>
          <w:szCs w:val="22"/>
        </w:rPr>
        <w:t xml:space="preserve">The Pipeline</w:t>
      </w:r>
    </w:p>
    <w:p>
      <w:pPr>
        <w:spacing w:after="200" w:line="300"/>
        <w:jc w:val="both"/>
      </w:pPr>
      <w:r>
        <w:rPr>
          <w:rFonts w:ascii="Georgia" w:cs="Georgia" w:eastAsia="Georgia" w:hAnsi="Georgia"/>
          <w:b/>
          <w:bCs/>
          <w:color w:val="2D2D2D"/>
          <w:sz w:val="21"/>
          <w:szCs w:val="21"/>
        </w:rPr>
        <w:t xml:space="preserve">1. SOURCE</w:t>
      </w:r>
      <w:r>
        <w:rPr>
          <w:rFonts w:ascii="Georgia" w:cs="Georgia" w:eastAsia="Georgia" w:hAnsi="Georgia"/>
          <w:color w:val="2D2D2D"/>
          <w:sz w:val="21"/>
          <w:szCs w:val="21"/>
        </w:rPr>
        <w:t xml:space="preserve"> — Capture high-fidelity </w:t>
      </w:r>
      <w:hyperlink w:history="1" r:id="rIdgayp0nzlx78xranyszn88">
        <w:r>
          <w:rPr>
            <w:rFonts w:ascii="Georgia" w:cs="Georgia" w:eastAsia="Georgia" w:hAnsi="Georgia"/>
            <w:color w:val="0563C1"/>
            <w:sz w:val="21"/>
            <w:szCs w:val="21"/>
            <w:u w:val="single"/>
          </w:rPr>
          <w:t xml:space="preserve">4D multimodal data</w:t>
        </w:r>
      </w:hyperlink>
      <w:r>
        <w:rPr>
          <w:rFonts w:ascii="Georgia" w:cs="Georgia" w:eastAsia="Georgia" w:hAnsi="Georgia"/>
          <w:color w:val="2D2D2D"/>
          <w:sz w:val="21"/>
          <w:szCs w:val="21"/>
        </w:rPr>
        <w:t xml:space="preserve"> (</w:t>
      </w:r>
      <w:hyperlink w:history="1" r:id="rIdkicq4d6tokgais4glnne7">
        <w:r>
          <w:rPr>
            <w:rFonts w:ascii="Georgia" w:cs="Georgia" w:eastAsia="Georgia" w:hAnsi="Georgia"/>
            <w:color w:val="0563C1"/>
            <w:sz w:val="21"/>
            <w:szCs w:val="21"/>
            <w:u w:val="single"/>
          </w:rPr>
          <w:t xml:space="preserve">LiDAR</w:t>
        </w:r>
      </w:hyperlink>
      <w:r>
        <w:rPr>
          <w:rFonts w:ascii="Georgia" w:cs="Georgia" w:eastAsia="Georgia" w:hAnsi="Georgia"/>
          <w:color w:val="2D2D2D"/>
          <w:sz w:val="21"/>
          <w:szCs w:val="21"/>
        </w:rPr>
        <w:t xml:space="preserve">, depth, IMU, RGB) at global scale</w:t>
      </w:r>
    </w:p>
    <w:p>
      <w:pPr>
        <w:spacing w:after="200" w:line="300"/>
        <w:jc w:val="both"/>
      </w:pPr>
      <w:r>
        <w:rPr>
          <w:rFonts w:ascii="Georgia" w:cs="Georgia" w:eastAsia="Georgia" w:hAnsi="Georgia"/>
          <w:b/>
          <w:bCs/>
          <w:color w:val="2D2D2D"/>
          <w:sz w:val="21"/>
          <w:szCs w:val="21"/>
        </w:rPr>
        <w:t xml:space="preserve">2. STRUCTURE</w:t>
      </w:r>
      <w:r>
        <w:rPr>
          <w:rFonts w:ascii="Georgia" w:cs="Georgia" w:eastAsia="Georgia" w:hAnsi="Georgia"/>
          <w:color w:val="2D2D2D"/>
          <w:sz w:val="21"/>
          <w:szCs w:val="21"/>
        </w:rPr>
        <w:t xml:space="preserve"> — Standardize into </w:t>
      </w:r>
      <w:hyperlink w:history="1" r:id="rIdwcjnxdwbjjr9fm55f2v6h">
        <w:r>
          <w:rPr>
            <w:rFonts w:ascii="Georgia" w:cs="Georgia" w:eastAsia="Georgia" w:hAnsi="Georgia"/>
            <w:color w:val="0563C1"/>
            <w:sz w:val="21"/>
            <w:szCs w:val="21"/>
            <w:u w:val="single"/>
          </w:rPr>
          <w:t xml:space="preserve">SLAM</w:t>
        </w:r>
      </w:hyperlink>
      <w:r>
        <w:rPr>
          <w:rFonts w:ascii="Georgia" w:cs="Georgia" w:eastAsia="Georgia" w:hAnsi="Georgia"/>
          <w:color w:val="2D2D2D"/>
          <w:sz w:val="21"/>
          <w:szCs w:val="21"/>
        </w:rPr>
        <w:t xml:space="preserve"> maps, trajectories, pose/joint angles using proprietary ontologies</w:t>
      </w:r>
    </w:p>
    <w:p>
      <w:pPr>
        <w:spacing w:after="200" w:line="300"/>
        <w:jc w:val="both"/>
      </w:pPr>
      <w:r>
        <w:rPr>
          <w:rFonts w:ascii="Georgia" w:cs="Georgia" w:eastAsia="Georgia" w:hAnsi="Georgia"/>
          <w:b/>
          <w:bCs/>
          <w:color w:val="2D2D2D"/>
          <w:sz w:val="21"/>
          <w:szCs w:val="21"/>
        </w:rPr>
        <w:t xml:space="preserve">3. ENRICH</w:t>
      </w:r>
      <w:r>
        <w:rPr>
          <w:rFonts w:ascii="Georgia" w:cs="Georgia" w:eastAsia="Georgia" w:hAnsi="Georgia"/>
          <w:color w:val="2D2D2D"/>
          <w:sz w:val="21"/>
          <w:szCs w:val="21"/>
        </w:rPr>
        <w:t xml:space="preserve"> — Add semantic understanding and robotics actions via a generative world model</w:t>
      </w:r>
    </w:p>
    <w:p>
      <w:pPr>
        <w:spacing w:after="200" w:line="300"/>
        <w:jc w:val="both"/>
      </w:pPr>
      <w:r>
        <w:rPr>
          <w:rFonts w:ascii="Georgia" w:cs="Georgia" w:eastAsia="Georgia" w:hAnsi="Georgia"/>
          <w:b/>
          <w:bCs/>
          <w:color w:val="2D2D2D"/>
          <w:sz w:val="21"/>
          <w:szCs w:val="21"/>
        </w:rPr>
        <w:t xml:space="preserve">4. DELIVER</w:t>
      </w:r>
      <w:r>
        <w:rPr>
          <w:rFonts w:ascii="Georgia" w:cs="Georgia" w:eastAsia="Georgia" w:hAnsi="Georgia"/>
          <w:color w:val="2D2D2D"/>
          <w:sz w:val="21"/>
          <w:szCs w:val="21"/>
        </w:rPr>
        <w:t xml:space="preserve"> — Generate model-ready training data for world models, VLMs, and VLAs</w:t>
      </w:r>
    </w:p>
    <w:p>
      <w:pPr>
        <w:spacing w:after="150" w:before="200"/>
      </w:pPr>
      <w:r>
        <w:rPr>
          <w:rFonts w:ascii="Arial" w:cs="Arial" w:eastAsia="Arial" w:hAnsi="Arial"/>
          <w:b/>
          <w:bCs/>
          <w:color w:val="1A1A1A"/>
          <w:sz w:val="22"/>
          <w:szCs w:val="22"/>
        </w:rPr>
        <w:t xml:space="preserve">Tech Stack</w:t>
      </w:r>
    </w:p>
    <w:p>
      <w:pPr>
        <w:spacing w:after="200" w:line="300"/>
        <w:jc w:val="both"/>
      </w:pPr>
      <w:r>
        <w:rPr>
          <w:rFonts w:ascii="Georgia" w:cs="Georgia" w:eastAsia="Georgia" w:hAnsi="Georgia"/>
          <w:color w:val="2D2D2D"/>
          <w:sz w:val="21"/>
          <w:szCs w:val="21"/>
        </w:rPr>
        <w:t xml:space="preserve">Calder’s pipeline is built on open-source and production-grade components: </w:t>
      </w:r>
      <w:hyperlink w:history="1" r:id="rIdxwvfpuspmdujgmzptf5ju">
        <w:r>
          <w:rPr>
            <w:rFonts w:ascii="Georgia" w:cs="Georgia" w:eastAsia="Georgia" w:hAnsi="Georgia"/>
            <w:color w:val="0563C1"/>
            <w:sz w:val="21"/>
            <w:szCs w:val="21"/>
            <w:u w:val="single"/>
          </w:rPr>
          <w:t xml:space="preserve">ROS 2</w:t>
        </w:r>
      </w:hyperlink>
      <w:r>
        <w:rPr>
          <w:rFonts w:ascii="Georgia" w:cs="Georgia" w:eastAsia="Georgia" w:hAnsi="Georgia"/>
          <w:color w:val="2D2D2D"/>
          <w:sz w:val="21"/>
          <w:szCs w:val="21"/>
        </w:rPr>
        <w:t xml:space="preserve"> for robotics middleware, </w:t>
      </w:r>
      <w:hyperlink w:history="1" r:id="rIdzui0f80nmge_dd5ryk7cb">
        <w:r>
          <w:rPr>
            <w:rFonts w:ascii="Georgia" w:cs="Georgia" w:eastAsia="Georgia" w:hAnsi="Georgia"/>
            <w:color w:val="0563C1"/>
            <w:sz w:val="21"/>
            <w:szCs w:val="21"/>
            <w:u w:val="single"/>
          </w:rPr>
          <w:t xml:space="preserve">Open3D</w:t>
        </w:r>
      </w:hyperlink>
      <w:r>
        <w:rPr>
          <w:rFonts w:ascii="Georgia" w:cs="Georgia" w:eastAsia="Georgia" w:hAnsi="Georgia"/>
          <w:color w:val="2D2D2D"/>
          <w:sz w:val="21"/>
          <w:szCs w:val="21"/>
        </w:rPr>
        <w:t xml:space="preserve"> and custom </w:t>
      </w:r>
      <w:hyperlink w:history="1" r:id="rIdz3wrtasq7ivw35whdz_cn">
        <w:r>
          <w:rPr>
            <w:rFonts w:ascii="Georgia" w:cs="Georgia" w:eastAsia="Georgia" w:hAnsi="Georgia"/>
            <w:color w:val="0563C1"/>
            <w:sz w:val="21"/>
            <w:szCs w:val="21"/>
            <w:u w:val="single"/>
          </w:rPr>
          <w:t xml:space="preserve">SLAM</w:t>
        </w:r>
      </w:hyperlink>
      <w:r>
        <w:rPr>
          <w:rFonts w:ascii="Georgia" w:cs="Georgia" w:eastAsia="Georgia" w:hAnsi="Georgia"/>
          <w:color w:val="2D2D2D"/>
          <w:sz w:val="21"/>
          <w:szCs w:val="21"/>
        </w:rPr>
        <w:t xml:space="preserve"> implementations for 3D reconstruction, </w:t>
      </w:r>
      <w:hyperlink w:history="1" r:id="rId1llhbf2avic6zkx2bbufg">
        <w:r>
          <w:rPr>
            <w:rFonts w:ascii="Georgia" w:cs="Georgia" w:eastAsia="Georgia" w:hAnsi="Georgia"/>
            <w:color w:val="0563C1"/>
            <w:sz w:val="21"/>
            <w:szCs w:val="21"/>
            <w:u w:val="single"/>
          </w:rPr>
          <w:t xml:space="preserve">PyTorch</w:t>
        </w:r>
      </w:hyperlink>
      <w:r>
        <w:rPr>
          <w:rFonts w:ascii="Georgia" w:cs="Georgia" w:eastAsia="Georgia" w:hAnsi="Georgia"/>
          <w:color w:val="2D2D2D"/>
          <w:sz w:val="21"/>
          <w:szCs w:val="21"/>
        </w:rPr>
        <w:t xml:space="preserve"> for model training, and proprietary ontologies for semantic enrichment. Sensor fusion layer handles </w:t>
      </w:r>
      <w:hyperlink w:history="1" r:id="rIdp9hpca59hr6lyxp1paupq">
        <w:r>
          <w:rPr>
            <w:rFonts w:ascii="Georgia" w:cs="Georgia" w:eastAsia="Georgia" w:hAnsi="Georgia"/>
            <w:color w:val="0563C1"/>
            <w:sz w:val="21"/>
            <w:szCs w:val="21"/>
            <w:u w:val="single"/>
          </w:rPr>
          <w:t xml:space="preserve">LiDAR</w:t>
        </w:r>
      </w:hyperlink>
      <w:r>
        <w:rPr>
          <w:rFonts w:ascii="Georgia" w:cs="Georgia" w:eastAsia="Georgia" w:hAnsi="Georgia"/>
          <w:color w:val="2D2D2D"/>
          <w:sz w:val="21"/>
          <w:szCs w:val="21"/>
        </w:rPr>
        <w:t xml:space="preserve">, depth cameras, IMUs, and RGB simultaneously. Data delivery is API-first, outputting model-ready formats compatible with </w:t>
      </w:r>
      <w:hyperlink w:history="1" r:id="rIdesdvgftpecribgqx_pfz4">
        <w:r>
          <w:rPr>
            <w:rFonts w:ascii="Georgia" w:cs="Georgia" w:eastAsia="Georgia" w:hAnsi="Georgia"/>
            <w:color w:val="0563C1"/>
            <w:sz w:val="21"/>
            <w:szCs w:val="21"/>
            <w:u w:val="single"/>
          </w:rPr>
          <w:t xml:space="preserve">NVIDIA Cosmos</w:t>
        </w:r>
      </w:hyperlink>
      <w:r>
        <w:rPr>
          <w:rFonts w:ascii="Georgia" w:cs="Georgia" w:eastAsia="Georgia" w:hAnsi="Georgia"/>
          <w:color w:val="2D2D2D"/>
          <w:sz w:val="21"/>
          <w:szCs w:val="21"/>
        </w:rPr>
        <w:t xml:space="preserve">, </w:t>
      </w:r>
      <w:hyperlink w:history="1" r:id="rIduc8jck-6y7d-oe62ytj3n">
        <w:r>
          <w:rPr>
            <w:rFonts w:ascii="Georgia" w:cs="Georgia" w:eastAsia="Georgia" w:hAnsi="Georgia"/>
            <w:color w:val="0563C1"/>
            <w:sz w:val="21"/>
            <w:szCs w:val="21"/>
            <w:u w:val="single"/>
          </w:rPr>
          <w:t xml:space="preserve">Hugging Face</w:t>
        </w:r>
      </w:hyperlink>
      <w:r>
        <w:rPr>
          <w:rFonts w:ascii="Georgia" w:cs="Georgia" w:eastAsia="Georgia" w:hAnsi="Georgia"/>
          <w:color w:val="2D2D2D"/>
          <w:sz w:val="21"/>
          <w:szCs w:val="21"/>
        </w:rPr>
        <w:t xml:space="preserve"> datasets, and custom training pipelines. The founders built similar stacks at Apple Maps 3D and NVIDIA DeepMap — this is not a first attempt.</w:t>
      </w:r>
    </w:p>
    <w:p>
      <w:r>
        <w:br w:type="page"/>
      </w:r>
    </w:p>
    <w:p>
      <w:pPr>
        <w:spacing w:after="200" w:before="100"/>
      </w:pPr>
      <w:r>
        <w:rPr>
          <w:rFonts w:ascii="Arial" w:cs="Arial" w:eastAsia="Arial" w:hAnsi="Arial"/>
          <w:b/>
          <w:bCs/>
          <w:color w:val="C8102E"/>
          <w:spacing w:val="80"/>
          <w:sz w:val="26"/>
          <w:szCs w:val="26"/>
        </w:rPr>
        <w:t xml:space="preserve">THE TEAM</w:t>
      </w:r>
    </w:p>
    <w:p>
      <w:pPr>
        <w:pBdr>
          <w:bottom w:val="single" w:color="C8102E" w:sz="12" w:space="1"/>
        </w:pBdr>
        <w:spacing w:after="200" w:before="200"/>
      </w:pPr>
    </w:p>
    <w:p>
      <w:pPr>
        <w:pBdr>
          <w:left w:val="single" w:color="C8102E" w:sz="24" w:space="8"/>
        </w:pBdr>
        <w:spacing w:after="300" w:before="300" w:line="340"/>
        <w:ind w:left="600"/>
        <w:jc w:val="left"/>
      </w:pPr>
      <w:r>
        <w:rPr>
          <w:rFonts w:ascii="Georgia" w:cs="Georgia" w:eastAsia="Georgia" w:hAnsi="Georgia"/>
          <w:i/>
          <w:iCs/>
          <w:color w:val="C8102E"/>
          <w:sz w:val="24"/>
          <w:szCs w:val="24"/>
        </w:rPr>
        <w:t xml:space="preserve">“In venture, you bet on the jockey. These four have already won eight races.”</w:t>
      </w:r>
    </w:p>
    <w:p>
      <w:pPr>
        <w:spacing w:after="200" w:line="300"/>
        <w:jc w:val="both"/>
      </w:pPr>
      <w:r>
        <w:rPr>
          <w:rFonts w:ascii="Georgia" w:cs="Georgia" w:eastAsia="Georgia" w:hAnsi="Georgia"/>
          <w:b/>
          <w:bCs/>
          <w:color w:val="C8102E"/>
          <w:sz w:val="21"/>
          <w:szCs w:val="21"/>
        </w:rPr>
        <w:t xml:space="preserve">Fei-Fei Li</w:t>
      </w:r>
      <w:r>
        <w:rPr>
          <w:rFonts w:ascii="Georgia" w:cs="Georgia" w:eastAsia="Georgia" w:hAnsi="Georgia"/>
          <w:color w:val="2D2D2D"/>
          <w:sz w:val="21"/>
          <w:szCs w:val="21"/>
        </w:rPr>
        <w:t xml:space="preserve"> — Creator of </w:t>
      </w:r>
      <w:hyperlink w:history="1" r:id="rIddsk277za5rmjkvzqhsblu">
        <w:r>
          <w:rPr>
            <w:rFonts w:ascii="Georgia" w:cs="Georgia" w:eastAsia="Georgia" w:hAnsi="Georgia"/>
            <w:color w:val="0563C1"/>
            <w:sz w:val="21"/>
            <w:szCs w:val="21"/>
            <w:u w:val="single"/>
          </w:rPr>
          <w:t xml:space="preserve">ImageNet</w:t>
        </w:r>
      </w:hyperlink>
      <w:r>
        <w:rPr>
          <w:rFonts w:ascii="Georgia" w:cs="Georgia" w:eastAsia="Georgia" w:hAnsi="Georgia"/>
          <w:color w:val="2D2D2D"/>
          <w:sz w:val="21"/>
          <w:szCs w:val="21"/>
        </w:rPr>
        <w:t xml:space="preserve">. Stanford HAI Co-Director. CEO of World Labs ($5B). Formal Advisor Agreement confirms advisory role. 5.3%.</w:t>
      </w:r>
    </w:p>
    <w:p>
      <w:pPr>
        <w:spacing w:after="200" w:line="300"/>
        <w:jc w:val="both"/>
      </w:pPr>
      <w:r>
        <w:rPr>
          <w:rFonts w:ascii="Georgia" w:cs="Georgia" w:eastAsia="Georgia" w:hAnsi="Georgia"/>
          <w:b/>
          <w:bCs/>
          <w:color w:val="C8102E"/>
          <w:sz w:val="21"/>
          <w:szCs w:val="21"/>
        </w:rPr>
        <w:t xml:space="preserve">Denis Laprise</w:t>
      </w:r>
      <w:r>
        <w:rPr>
          <w:rFonts w:ascii="Georgia" w:cs="Georgia" w:eastAsia="Georgia" w:hAnsi="Georgia"/>
          <w:color w:val="2D2D2D"/>
          <w:sz w:val="21"/>
          <w:szCs w:val="21"/>
        </w:rPr>
        <w:t xml:space="preserve"> — Co-founded Poly9 (acq. Apple), Curbside (acq. Rakuten). Former Apple Maps 3D and NVIDIA leader. CIIAA signed Dec 2025. The technical architect.</w:t>
      </w:r>
    </w:p>
    <w:p>
      <w:pPr>
        <w:spacing w:after="200" w:line="300"/>
        <w:jc w:val="both"/>
      </w:pPr>
      <w:r>
        <w:rPr>
          <w:rFonts w:ascii="Georgia" w:cs="Georgia" w:eastAsia="Georgia" w:hAnsi="Georgia"/>
          <w:b/>
          <w:bCs/>
          <w:color w:val="C8102E"/>
          <w:sz w:val="21"/>
          <w:szCs w:val="21"/>
        </w:rPr>
        <w:t xml:space="preserve">Jaron Waldman</w:t>
      </w:r>
      <w:r>
        <w:rPr>
          <w:rFonts w:ascii="Georgia" w:cs="Georgia" w:eastAsia="Georgia" w:hAnsi="Georgia"/>
          <w:color w:val="2D2D2D"/>
          <w:sz w:val="21"/>
          <w:szCs w:val="21"/>
        </w:rPr>
        <w:t xml:space="preserve"> — Founded Placebase (acq. Apple). Co-founded Curbside (acq. Rakuten). Former CPO at Cohere. Geospatial + AI product.</w:t>
      </w:r>
    </w:p>
    <w:p>
      <w:pPr>
        <w:spacing w:after="200" w:line="300"/>
        <w:jc w:val="both"/>
      </w:pPr>
      <w:r>
        <w:rPr>
          <w:rFonts w:ascii="Georgia" w:cs="Georgia" w:eastAsia="Georgia" w:hAnsi="Georgia"/>
          <w:b/>
          <w:bCs/>
          <w:color w:val="C8102E"/>
          <w:sz w:val="21"/>
          <w:szCs w:val="21"/>
        </w:rPr>
        <w:t xml:space="preserve">James Wu</w:t>
      </w:r>
      <w:r>
        <w:rPr>
          <w:rFonts w:ascii="Georgia" w:cs="Georgia" w:eastAsia="Georgia" w:hAnsi="Georgia"/>
          <w:color w:val="2D2D2D"/>
          <w:sz w:val="21"/>
          <w:szCs w:val="21"/>
        </w:rPr>
        <w:t xml:space="preserve"> — Founded DeepMap (acq. NVIDIA, ~$150M). Ex-Apple, NVIDIA, Google. Key to China operations.</w:t>
      </w:r>
    </w:p>
    <w:p>
      <w:pPr>
        <w:spacing w:after="200" w:line="300"/>
        <w:jc w:val="both"/>
      </w:pPr>
      <w:r>
        <w:rPr>
          <w:rFonts w:ascii="Georgia" w:cs="Georgia" w:eastAsia="Georgia" w:hAnsi="Georgia"/>
          <w:color w:val="2D2D2D"/>
          <w:sz w:val="21"/>
          <w:szCs w:val="21"/>
        </w:rPr>
        <w:t xml:space="preserve">Martin Casado (a16z GP) signed a personal Advisor Agreement and took shares before transferring to the fund — a strong signal of personal conviction.</w:t>
      </w:r>
    </w:p>
    <w:p>
      <w:pPr>
        <w:spacing w:after="150" w:before="200"/>
      </w:pPr>
      <w:r>
        <w:rPr>
          <w:rFonts w:ascii="Arial" w:cs="Arial" w:eastAsia="Arial" w:hAnsi="Arial"/>
          <w:b/>
          <w:bCs/>
          <w:color w:val="1A1A1A"/>
          <w:sz w:val="22"/>
          <w:szCs w:val="22"/>
        </w:rPr>
        <w:t xml:space="preserve">Our Edge</w:t>
      </w:r>
    </w:p>
    <w:p>
      <w:pPr>
        <w:spacing w:after="200" w:line="300"/>
        <w:jc w:val="both"/>
      </w:pPr>
      <w:r>
        <w:rPr>
          <w:rFonts w:ascii="Georgia" w:cs="Georgia" w:eastAsia="Georgia" w:hAnsi="Georgia"/>
          <w:color w:val="2D2D2D"/>
          <w:sz w:val="21"/>
          <w:szCs w:val="21"/>
        </w:rPr>
        <w:t xml:space="preserve">Bert has known Denis for years and met Jaron in 2018 through the Apple/Rakuten ecosystem. During GTC week, Bert stayed at Denis’s home in Palo Alto, where Denis was sharing technical questions about 3D rendering pipelines. This is a co-founder trusting a friend with his thinking — and it’s why Denis personally advocated for our allocation.</w:t>
      </w:r>
    </w:p>
    <w:p>
      <w:r>
        <w:br w:type="page"/>
      </w:r>
    </w:p>
    <w:p>
      <w:pPr>
        <w:spacing w:after="200" w:before="100"/>
      </w:pPr>
      <w:r>
        <w:rPr>
          <w:rFonts w:ascii="Arial" w:cs="Arial" w:eastAsia="Arial" w:hAnsi="Arial"/>
          <w:b/>
          <w:bCs/>
          <w:color w:val="C8102E"/>
          <w:spacing w:val="80"/>
          <w:sz w:val="26"/>
          <w:szCs w:val="26"/>
        </w:rPr>
        <w:t xml:space="preserve">THE MARKET</w:t>
      </w:r>
    </w:p>
    <w:p>
      <w:pPr>
        <w:pBdr>
          <w:bottom w:val="single" w:color="C8102E" w:sz="12" w:space="1"/>
        </w:pBdr>
        <w:spacing w:after="200" w:before="200"/>
      </w:pPr>
    </w:p>
    <w:p>
      <w:pPr>
        <w:pBdr>
          <w:left w:val="single" w:color="C8102E" w:sz="24" w:space="8"/>
        </w:pBdr>
        <w:spacing w:after="300" w:before="300" w:line="340"/>
        <w:ind w:left="600"/>
        <w:jc w:val="left"/>
      </w:pPr>
      <w:r>
        <w:rPr>
          <w:rFonts w:ascii="Georgia" w:cs="Georgia" w:eastAsia="Georgia" w:hAnsi="Georgia"/>
          <w:i/>
          <w:iCs/>
          <w:color w:val="C8102E"/>
          <w:sz w:val="24"/>
          <w:szCs w:val="24"/>
        </w:rPr>
        <w:t xml:space="preserve">“Every industrial company will become a robotics company.” — Jensen Huang, GTC 2026</w:t>
      </w:r>
    </w:p>
    <w:p>
      <w:pPr>
        <w:spacing w:after="200" w:line="300"/>
        <w:jc w:val="both"/>
      </w:pPr>
      <w:r>
        <w:rPr>
          <w:rFonts w:ascii="Georgia" w:cs="Georgia" w:eastAsia="Georgia" w:hAnsi="Georgia"/>
          <w:color w:val="2D2D2D"/>
          <w:sz w:val="21"/>
          <w:szCs w:val="21"/>
        </w:rPr>
        <w:t xml:space="preserve">NVIDIA GTC 2026 introduced Newton 1.0, GR00T N2, and </w:t>
      </w:r>
      <w:hyperlink w:history="1" r:id="rIdgsl8xrund9d0hdjqca6kl">
        <w:r>
          <w:rPr>
            <w:rFonts w:ascii="Georgia" w:cs="Georgia" w:eastAsia="Georgia" w:hAnsi="Georgia"/>
            <w:color w:val="0563C1"/>
            <w:sz w:val="21"/>
            <w:szCs w:val="21"/>
            <w:u w:val="single"/>
          </w:rPr>
          <w:t xml:space="preserve">Cosmos 3</w:t>
        </w:r>
      </w:hyperlink>
      <w:r>
        <w:rPr>
          <w:rFonts w:ascii="Georgia" w:cs="Georgia" w:eastAsia="Georgia" w:hAnsi="Georgia"/>
          <w:color w:val="2D2D2D"/>
          <w:sz w:val="21"/>
          <w:szCs w:val="21"/>
        </w:rPr>
        <w:t xml:space="preserve">. AMI Labs raised $1.03B. World Labs raised $1B. Q1 2026 world model capital deployed: $2.3B+.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Market Layer</w:t>
            </w:r>
          </w:p>
        </w:tc>
        <w:tc>
          <w:tcPr>
            <w:tcW w:type="dxa" w:w="278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2025E</w:t>
            </w:r>
          </w:p>
        </w:tc>
        <w:tc>
          <w:tcPr>
            <w:tcW w:type="dxa" w:w="278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2030–33E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Physical AI</w:t>
            </w:r>
          </w:p>
        </w:tc>
        <w:tc>
          <w:tcPr>
            <w:tcW w:type="dxa" w:w="2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$5.2B</w:t>
            </w:r>
          </w:p>
        </w:tc>
        <w:tc>
          <w:tcPr>
            <w:tcW w:type="dxa" w:w="2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$49.7B (32.5% CAGR)</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World Models (Entertainment)</w:t>
            </w:r>
          </w:p>
        </w:tc>
        <w:tc>
          <w:tcPr>
            <w:tcW w:type="dxa" w:w="27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$1.2B</w:t>
            </w:r>
          </w:p>
        </w:tc>
        <w:tc>
          <w:tcPr>
            <w:tcW w:type="dxa" w:w="27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$276B by 2030</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Robotics (Global)</w:t>
            </w:r>
          </w:p>
        </w:tc>
        <w:tc>
          <w:tcPr>
            <w:tcW w:type="dxa" w:w="2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$64.8B</w:t>
            </w:r>
          </w:p>
        </w:tc>
        <w:tc>
          <w:tcPr>
            <w:tcW w:type="dxa" w:w="2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$375.82B by 2035</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AI Training Data</w:t>
            </w:r>
          </w:p>
        </w:tc>
        <w:tc>
          <w:tcPr>
            <w:tcW w:type="dxa" w:w="27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~$3B</w:t>
            </w:r>
          </w:p>
        </w:tc>
        <w:tc>
          <w:tcPr>
            <w:tcW w:type="dxa" w:w="27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$15B+</w:t>
            </w:r>
          </w:p>
        </w:tc>
      </w:tr>
    </w:tbl>
    <w:p>
      <w:pPr>
        <w:spacing w:after="200" w:before="80"/>
        <w:jc w:val="left"/>
      </w:pPr>
      <w:r>
        <w:rPr>
          <w:rFonts w:ascii="Georgia" w:cs="Georgia" w:eastAsia="Georgia" w:hAnsi="Georgia"/>
          <w:i/>
          <w:iCs/>
          <w:color w:val="999999"/>
          <w:sz w:val="16"/>
          <w:szCs w:val="16"/>
        </w:rPr>
        <w:t xml:space="preserve">Sources: Precedence Research, Roots Analysis, ai2.work, Omdia, Epoch AI, CB Insights. As of March 2026.</w:t>
      </w:r>
    </w:p>
    <w:p>
      <w:pPr>
        <w:spacing w:after="150" w:before="200"/>
      </w:pPr>
      <w:r>
        <w:rPr>
          <w:rFonts w:ascii="Arial" w:cs="Arial" w:eastAsia="Arial" w:hAnsi="Arial"/>
          <w:b/>
          <w:bCs/>
          <w:color w:val="1A1A1A"/>
          <w:sz w:val="22"/>
          <w:szCs w:val="22"/>
        </w:rPr>
        <w:t xml:space="preserve">Scenario Analysis: Path to Decacorn</w:t>
      </w:r>
    </w:p>
    <w:p>
      <w:pPr>
        <w:spacing w:after="200" w:line="300"/>
        <w:jc w:val="both"/>
      </w:pPr>
      <w:r>
        <w:rPr>
          <w:rFonts w:ascii="Georgia" w:cs="Georgia" w:eastAsia="Georgia" w:hAnsi="Georgia"/>
          <w:color w:val="2D2D2D"/>
          <w:sz w:val="21"/>
          <w:szCs w:val="21"/>
        </w:rPr>
        <w:t xml:space="preserve">If Calder captures 5–10% of the spatial AI training data market by 2030, that implies $1.5–3B in revenue. At 10–15x forward multiples (consistent with data infrastructure companies), the implied valuation range is $15–45B. Three factors support this scenario:</w:t>
      </w:r>
    </w:p>
    <w:p>
      <w:pPr>
        <w:spacing w:after="200" w:line="300"/>
        <w:jc w:val="both"/>
      </w:pPr>
      <w:r>
        <w:rPr>
          <w:rFonts w:ascii="Georgia" w:cs="Georgia" w:eastAsia="Georgia" w:hAnsi="Georgia"/>
          <w:b/>
          <w:bCs/>
          <w:color w:val="2D2D2D"/>
          <w:sz w:val="21"/>
          <w:szCs w:val="21"/>
        </w:rPr>
        <w:t xml:space="preserve">1. Data moats compound.</w:t>
      </w:r>
      <w:r>
        <w:rPr>
          <w:rFonts w:ascii="Georgia" w:cs="Georgia" w:eastAsia="Georgia" w:hAnsi="Georgia"/>
          <w:color w:val="2D2D2D"/>
          <w:sz w:val="21"/>
          <w:szCs w:val="21"/>
        </w:rPr>
        <w:t xml:space="preserve"> The same network effect that drove Scale AI to a $14B valuation applies here — each new environment captured makes the dataset harder to replicate.</w:t>
      </w:r>
    </w:p>
    <w:p>
      <w:pPr>
        <w:spacing w:after="200" w:line="300"/>
        <w:jc w:val="both"/>
      </w:pPr>
      <w:r>
        <w:rPr>
          <w:rFonts w:ascii="Georgia" w:cs="Georgia" w:eastAsia="Georgia" w:hAnsi="Georgia"/>
          <w:b/>
          <w:bCs/>
          <w:color w:val="2D2D2D"/>
          <w:sz w:val="21"/>
          <w:szCs w:val="21"/>
        </w:rPr>
        <w:t xml:space="preserve">2. Every world model company is a potential customer.</w:t>
      </w:r>
      <w:r>
        <w:rPr>
          <w:rFonts w:ascii="Georgia" w:cs="Georgia" w:eastAsia="Georgia" w:hAnsi="Georgia"/>
          <w:color w:val="2D2D2D"/>
          <w:sz w:val="21"/>
          <w:szCs w:val="21"/>
        </w:rPr>
        <w:t xml:space="preserve"> World Labs, AMI Labs, Skild AI, Physical Intelligence, Figure, Agility — all need real-world training data.</w:t>
      </w:r>
    </w:p>
    <w:p>
      <w:pPr>
        <w:spacing w:after="200" w:line="300"/>
        <w:jc w:val="both"/>
      </w:pPr>
      <w:r>
        <w:rPr>
          <w:rFonts w:ascii="Georgia" w:cs="Georgia" w:eastAsia="Georgia" w:hAnsi="Georgia"/>
          <w:b/>
          <w:bCs/>
          <w:color w:val="2D2D2D"/>
          <w:sz w:val="21"/>
          <w:szCs w:val="21"/>
        </w:rPr>
        <w:t xml:space="preserve">3. Entertainment is the TAM multiplier.</w:t>
      </w:r>
      <w:r>
        <w:rPr>
          <w:rFonts w:ascii="Georgia" w:cs="Georgia" w:eastAsia="Georgia" w:hAnsi="Georgia"/>
          <w:color w:val="2D2D2D"/>
          <w:sz w:val="21"/>
          <w:szCs w:val="21"/>
        </w:rPr>
        <w:t xml:space="preserve"> When world models begin powering game engines and film production, the addressable market expands significantly.</w:t>
      </w:r>
    </w:p>
    <w:p>
      <w:r>
        <w:br w:type="page"/>
      </w:r>
    </w:p>
    <w:p>
      <w:pPr>
        <w:spacing w:after="200" w:before="100"/>
      </w:pPr>
      <w:r>
        <w:rPr>
          <w:rFonts w:ascii="Arial" w:cs="Arial" w:eastAsia="Arial" w:hAnsi="Arial"/>
          <w:b/>
          <w:bCs/>
          <w:color w:val="C8102E"/>
          <w:spacing w:val="80"/>
          <w:sz w:val="26"/>
          <w:szCs w:val="26"/>
        </w:rPr>
        <w:t xml:space="preserve">TERMS &amp; CAP TABLE</w:t>
      </w:r>
    </w:p>
    <w:p>
      <w:pPr>
        <w:pBdr>
          <w:bottom w:val="single" w:color="C8102E" w:sz="1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Term</w:t>
            </w:r>
          </w:p>
        </w:tc>
        <w:tc>
          <w:tcPr>
            <w:tcW w:type="dxa" w:w="536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Detail</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Pre-Money / New Money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$500M / $90M</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Total Round (incl. SAFE)</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$100M</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Seed-1 Price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$38.7947 / share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a16z Commitment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$40M ($30M new + $10M SAFE)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Liquidation Pref.</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1x non-participating</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Anti-Dilution</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Broad-based weighted avg</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ESOP Pool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7.0% post-money</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Board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6 seats: 1 a16z, 5 ordinary</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Governing Law</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Singapore</w:t>
            </w:r>
          </w:p>
        </w:tc>
      </w:tr>
    </w:tbl>
    <w:p>
      <w:pPr>
        <w:spacing w:after="100" w:before="300"/>
      </w:pPr>
      <w:r>
        <w:rPr>
          <w:rFonts w:ascii="Arial" w:cs="Arial" w:eastAsia="Arial" w:hAnsi="Arial"/>
          <w:b/>
          <w:bCs/>
          <w:color w:val="1A1A1A"/>
          <w:sz w:val="20"/>
          <w:szCs w:val="20"/>
        </w:rPr>
        <w:t xml:space="preserve">Ownership (Post-Money)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Shareholder</w:t>
            </w:r>
          </w:p>
        </w:tc>
        <w:tc>
          <w:tcPr>
            <w:tcW w:type="dxa" w:w="336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Ownership</w:t>
            </w:r>
          </w:p>
        </w:tc>
      </w:tr>
      <w:tr>
        <w:tc>
          <w:tcPr>
            <w:tcW w:type="dxa" w:w="6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Jaron Waldman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17.4%</w:t>
            </w:r>
          </w:p>
        </w:tc>
      </w:tr>
      <w:tr>
        <w:tc>
          <w:tcPr>
            <w:tcW w:type="dxa" w:w="6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Denis Laprise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11.6%</w:t>
            </w:r>
          </w:p>
        </w:tc>
      </w:tr>
      <w:tr>
        <w:tc>
          <w:tcPr>
            <w:tcW w:type="dxa" w:w="6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James Wu (Family Trust)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10.5%</w:t>
            </w:r>
          </w:p>
        </w:tc>
      </w:tr>
      <w:tr>
        <w:tc>
          <w:tcPr>
            <w:tcW w:type="dxa" w:w="6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Fei-Fei Li (Advisor)</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5.3%</w:t>
            </w:r>
          </w:p>
        </w:tc>
      </w:tr>
      <w:tr>
        <w:tc>
          <w:tcPr>
            <w:tcW w:type="dxa" w:w="6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a16z (Seed-1 + Seed-2)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~16.0%</w:t>
            </w:r>
          </w:p>
        </w:tc>
      </w:tr>
      <w:tr>
        <w:tc>
          <w:tcPr>
            <w:tcW w:type="dxa" w:w="6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Other Investors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~10.2%</w:t>
            </w:r>
          </w:p>
        </w:tc>
      </w:tr>
      <w:tr>
        <w:tc>
          <w:tcPr>
            <w:tcW w:type="dxa" w:w="6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ESOP</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7.0%</w:t>
            </w:r>
          </w:p>
        </w:tc>
      </w:tr>
    </w:tbl>
    <w:p>
      <w:pPr>
        <w:spacing w:before="200"/>
        <w:jc w:val="both"/>
      </w:pPr>
      <w:r>
        <w:rPr>
          <w:rFonts w:ascii="Georgia" w:cs="Georgia" w:eastAsia="Georgia" w:hAnsi="Georgia"/>
          <w:color w:val="2D2D2D"/>
          <w:sz w:val="21"/>
          <w:szCs w:val="21"/>
        </w:rPr>
        <w:t xml:space="preserve">Terms are clean. One flag: a16z approves subsequent investors &gt;$5M. Major Investor threshold ($72.3M) limits governance to a16z alone.</w:t>
      </w:r>
    </w:p>
    <w:p>
      <w:r>
        <w:br w:type="page"/>
      </w:r>
    </w:p>
    <w:p>
      <w:pPr>
        <w:spacing w:after="200" w:before="100"/>
      </w:pPr>
      <w:r>
        <w:rPr>
          <w:rFonts w:ascii="Arial" w:cs="Arial" w:eastAsia="Arial" w:hAnsi="Arial"/>
          <w:b/>
          <w:bCs/>
          <w:color w:val="C8102E"/>
          <w:spacing w:val="80"/>
          <w:sz w:val="26"/>
          <w:szCs w:val="26"/>
        </w:rPr>
        <w:t xml:space="preserve">RISKS &amp; MITIGANTS</w:t>
      </w:r>
    </w:p>
    <w:p>
      <w:pPr>
        <w:pBdr>
          <w:bottom w:val="single" w:color="C8102E" w:sz="1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Risk</w:t>
            </w:r>
          </w:p>
        </w:tc>
        <w:tc>
          <w:tcPr>
            <w:tcW w:type="dxa" w:w="348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Concern</w:t>
            </w:r>
          </w:p>
        </w:tc>
        <w:tc>
          <w:tcPr>
            <w:tcW w:type="dxa" w:w="408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Mitigant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Fei-Fei Li</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Dual CEO of World Labs ($5B) — simultaneously Calder’s largest potential customer and a competitor who could build data capture in-house.</w:t>
            </w:r>
          </w:p>
        </w:tc>
        <w:tc>
          <w:tcPr>
            <w:tcW w:type="dxa" w:w="4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Advisor Agreement confirms advisory role. 5.3% stake aligns incentives. a16z was aware and proceeded. Key question to monitor: does World Labs buy from Calder or build internally? If they buy, it validates. If they build, Calder loses its highest-profile anchor.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$500M Pre-$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Pre-revenue, 2 months old.</w:t>
            </w:r>
          </w:p>
        </w:tc>
        <w:tc>
          <w:tcPr>
            <w:tcW w:type="dxa" w:w="4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Comparable: World Labs $5B, AMI Labs $3.5B. Team credentials justify premium.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China Ops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Suppliers in China.</w:t>
            </w:r>
          </w:p>
        </w:tc>
        <w:tc>
          <w:tcPr>
            <w:tcW w:type="dxa" w:w="4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Singapore neutrality. US Treasury compliance. Wu navigated similar dynamics at DeepMap/NVIDIA.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Singapore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KYC burden, legal complexity.</w:t>
            </w:r>
          </w:p>
        </w:tc>
        <w:tc>
          <w:tcPr>
            <w:tcW w:type="dxa" w:w="4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Orrick experienced in structure. Delaware subsidiary exists.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Synthetic Data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Cosmos could reduce demand for real-world data.</w:t>
            </w:r>
          </w:p>
        </w:tc>
        <w:tc>
          <w:tcPr>
            <w:tcW w:type="dxa" w:w="4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Sim-to-real gap remains substantial. Real-world and synthetic data are complementary, not substitutive.</w:t>
            </w:r>
          </w:p>
        </w:tc>
      </w:tr>
    </w:tbl>
    <w:p>
      <w:r>
        <w:br w:type="page"/>
      </w:r>
    </w:p>
    <w:p>
      <w:pPr>
        <w:spacing w:after="200" w:before="100"/>
      </w:pPr>
      <w:r>
        <w:rPr>
          <w:rFonts w:ascii="Arial" w:cs="Arial" w:eastAsia="Arial" w:hAnsi="Arial"/>
          <w:b/>
          <w:bCs/>
          <w:color w:val="C8102E"/>
          <w:spacing w:val="80"/>
          <w:sz w:val="26"/>
          <w:szCs w:val="26"/>
        </w:rPr>
        <w:t xml:space="preserve">THE FEI-FEI LI QUESTION</w:t>
      </w:r>
    </w:p>
    <w:p>
      <w:pPr>
        <w:pBdr>
          <w:bottom w:val="single" w:color="C8102E" w:sz="12" w:space="1"/>
        </w:pBdr>
        <w:spacing w:after="200" w:before="200"/>
      </w:pPr>
    </w:p>
    <w:p>
      <w:pPr>
        <w:pBdr>
          <w:left w:val="single" w:color="C8102E" w:sz="24" w:space="8"/>
        </w:pBdr>
        <w:spacing w:after="300" w:before="300" w:line="340"/>
        <w:ind w:left="600"/>
        <w:jc w:val="left"/>
      </w:pPr>
      <w:r>
        <w:rPr>
          <w:rFonts w:ascii="Georgia" w:cs="Georgia" w:eastAsia="Georgia" w:hAnsi="Georgia"/>
          <w:i/>
          <w:iCs/>
          <w:color w:val="C8102E"/>
          <w:sz w:val="24"/>
          <w:szCs w:val="24"/>
        </w:rPr>
        <w:t xml:space="preserve">“The hardest conflicts to evaluate in venture are the ones where the advisor is also the customer.”</w:t>
      </w:r>
    </w:p>
    <w:p>
      <w:pPr>
        <w:spacing w:after="200" w:line="300"/>
        <w:jc w:val="both"/>
      </w:pPr>
      <w:r>
        <w:rPr>
          <w:rFonts w:ascii="Georgia" w:cs="Georgia" w:eastAsia="Georgia" w:hAnsi="Georgia"/>
          <w:color w:val="2D2D2D"/>
          <w:sz w:val="21"/>
          <w:szCs w:val="21"/>
        </w:rPr>
        <w:t xml:space="preserve">Fei-Fei Li is CEO of </w:t>
      </w:r>
      <w:hyperlink w:history="1" r:id="rIdbxzswgcojbzdkuqwvtxdq">
        <w:r>
          <w:rPr>
            <w:rFonts w:ascii="Georgia" w:cs="Georgia" w:eastAsia="Georgia" w:hAnsi="Georgia"/>
            <w:color w:val="0563C1"/>
            <w:sz w:val="21"/>
            <w:szCs w:val="21"/>
            <w:u w:val="single"/>
          </w:rPr>
          <w:t xml:space="preserve">World Labs</w:t>
        </w:r>
      </w:hyperlink>
      <w:r>
        <w:rPr>
          <w:rFonts w:ascii="Georgia" w:cs="Georgia" w:eastAsia="Georgia" w:hAnsi="Georgia"/>
          <w:color w:val="2D2D2D"/>
          <w:sz w:val="21"/>
          <w:szCs w:val="21"/>
        </w:rPr>
        <w:t xml:space="preserve"> ($5B valuation, $1B raised in February 2026) and a 5.3% advisor/shareholder in Calder. This dual role creates a genuine tension that deserves a thorough analysis, not a one-line mitigant.</w:t>
      </w:r>
    </w:p>
    <w:p>
      <w:pPr>
        <w:spacing w:after="150" w:before="200"/>
      </w:pPr>
      <w:r>
        <w:rPr>
          <w:rFonts w:ascii="Arial" w:cs="Arial" w:eastAsia="Arial" w:hAnsi="Arial"/>
          <w:b/>
          <w:bCs/>
          <w:color w:val="1A1A1A"/>
          <w:sz w:val="22"/>
          <w:szCs w:val="22"/>
        </w:rPr>
        <w:t xml:space="preserve">The Stack Argument: Different Layers</w:t>
      </w:r>
    </w:p>
    <w:p>
      <w:pPr>
        <w:spacing w:after="200" w:line="300"/>
        <w:jc w:val="both"/>
      </w:pPr>
      <w:r>
        <w:rPr>
          <w:rFonts w:ascii="Georgia" w:cs="Georgia" w:eastAsia="Georgia" w:hAnsi="Georgia"/>
          <w:color w:val="2D2D2D"/>
          <w:sz w:val="21"/>
          <w:szCs w:val="21"/>
        </w:rPr>
        <w:t xml:space="preserve">World Labs builds </w:t>
      </w:r>
      <w:r>
        <w:rPr>
          <w:rFonts w:ascii="Georgia" w:cs="Georgia" w:eastAsia="Georgia" w:hAnsi="Georgia"/>
          <w:b/>
          <w:bCs/>
          <w:color w:val="2D2D2D"/>
          <w:sz w:val="21"/>
          <w:szCs w:val="21"/>
        </w:rPr>
        <w:t xml:space="preserve">generative world models</w:t>
      </w:r>
      <w:r>
        <w:rPr>
          <w:rFonts w:ascii="Georgia" w:cs="Georgia" w:eastAsia="Georgia" w:hAnsi="Georgia"/>
          <w:color w:val="2D2D2D"/>
          <w:sz w:val="21"/>
          <w:szCs w:val="21"/>
        </w:rPr>
        <w:t xml:space="preserve"> — their product Marble takes text, images, or video as input and generates navigable 3D environments as output. They are on the </w:t>
      </w:r>
      <w:r>
        <w:rPr>
          <w:rFonts w:ascii="Georgia" w:cs="Georgia" w:eastAsia="Georgia" w:hAnsi="Georgia"/>
          <w:b/>
          <w:bCs/>
          <w:color w:val="2D2D2D"/>
          <w:sz w:val="21"/>
          <w:szCs w:val="21"/>
        </w:rPr>
        <w:t xml:space="preserve">output side</w:t>
      </w:r>
      <w:r>
        <w:rPr>
          <w:rFonts w:ascii="Georgia" w:cs="Georgia" w:eastAsia="Georgia" w:hAnsi="Georgia"/>
          <w:color w:val="2D2D2D"/>
          <w:sz w:val="21"/>
          <w:szCs w:val="21"/>
        </w:rPr>
        <w:t xml:space="preserve"> of the stack: model builders who consume data to produce synthetic worlds.</w:t>
      </w:r>
    </w:p>
    <w:p>
      <w:pPr>
        <w:spacing w:after="200" w:line="300"/>
        <w:jc w:val="both"/>
      </w:pPr>
      <w:r>
        <w:rPr>
          <w:rFonts w:ascii="Georgia" w:cs="Georgia" w:eastAsia="Georgia" w:hAnsi="Georgia"/>
          <w:color w:val="2D2D2D"/>
          <w:sz w:val="21"/>
          <w:szCs w:val="21"/>
        </w:rPr>
        <w:t xml:space="preserve">Calder builds </w:t>
      </w:r>
      <w:r>
        <w:rPr>
          <w:rFonts w:ascii="Georgia" w:cs="Georgia" w:eastAsia="Georgia" w:hAnsi="Georgia"/>
          <w:b/>
          <w:bCs/>
          <w:color w:val="2D2D2D"/>
          <w:sz w:val="21"/>
          <w:szCs w:val="21"/>
        </w:rPr>
        <w:t xml:space="preserve">data capture infrastructure</w:t>
      </w:r>
      <w:r>
        <w:rPr>
          <w:rFonts w:ascii="Georgia" w:cs="Georgia" w:eastAsia="Georgia" w:hAnsi="Georgia"/>
          <w:color w:val="2D2D2D"/>
          <w:sz w:val="21"/>
          <w:szCs w:val="21"/>
        </w:rPr>
        <w:t xml:space="preserve"> — they source, structure, enrich, and deliver real-world 4D data (LiDAR, depth, IMU, RGB) as training inputs for world models. They are on the </w:t>
      </w:r>
      <w:r>
        <w:rPr>
          <w:rFonts w:ascii="Georgia" w:cs="Georgia" w:eastAsia="Georgia" w:hAnsi="Georgia"/>
          <w:b/>
          <w:bCs/>
          <w:color w:val="2D2D2D"/>
          <w:sz w:val="21"/>
          <w:szCs w:val="21"/>
        </w:rPr>
        <w:t xml:space="preserve">input side</w:t>
      </w:r>
      <w:r>
        <w:rPr>
          <w:rFonts w:ascii="Georgia" w:cs="Georgia" w:eastAsia="Georgia" w:hAnsi="Georgia"/>
          <w:color w:val="2D2D2D"/>
          <w:sz w:val="21"/>
          <w:szCs w:val="21"/>
        </w:rPr>
        <w:t xml:space="preserve"> of the stack: data suppliers who feed the models.</w:t>
      </w:r>
    </w:p>
    <w:p>
      <w:pPr>
        <w:spacing w:after="200" w:line="300"/>
        <w:jc w:val="both"/>
      </w:pPr>
      <w:r>
        <w:rPr>
          <w:rFonts w:ascii="Georgia" w:cs="Georgia" w:eastAsia="Georgia" w:hAnsi="Georgia"/>
          <w:color w:val="2D2D2D"/>
          <w:sz w:val="21"/>
          <w:szCs w:val="21"/>
        </w:rPr>
        <w:t xml:space="preserve">The relationship is analogous to Scale AI and OpenAI. OpenAI builds the model; Scale AI supplies the training data. They are not competitors — one is the other’s customer. World Labs needs real-world data to train Marble. Calder supplies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Layer</w:t>
            </w:r>
          </w:p>
        </w:tc>
        <w:tc>
          <w:tcPr>
            <w:tcW w:type="dxa" w:w="312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World Labs</w:t>
            </w:r>
          </w:p>
        </w:tc>
        <w:tc>
          <w:tcPr>
            <w:tcW w:type="dxa" w:w="312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Calder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Core product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Marble — generative 3D world model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4D data capture &amp; delivery pipeline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Input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Text, images, video, 3D layouts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LiDAR, depth, IMU, RGB sensors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Output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Navigable 3D environments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Model-ready training datasets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Value prop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Create synthetic worlds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Capture the real world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Customer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Creators, game devs, VFX, robotics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World model companies (incl. World Labs)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Moat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Model architecture, UX, brand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Capture infrastructure, geospatial expertise, data volume</w:t>
            </w:r>
          </w:p>
        </w:tc>
      </w:tr>
    </w:tbl>
    <w:p>
      <w:pPr>
        <w:spacing w:after="150" w:before="200"/>
      </w:pPr>
      <w:r>
        <w:rPr>
          <w:rFonts w:ascii="Arial" w:cs="Arial" w:eastAsia="Arial" w:hAnsi="Arial"/>
          <w:b/>
          <w:bCs/>
          <w:color w:val="1A1A1A"/>
          <w:sz w:val="22"/>
          <w:szCs w:val="22"/>
        </w:rPr>
        <w:t xml:space="preserve">The Vertical Integration Risk</w:t>
      </w:r>
    </w:p>
    <w:p>
      <w:pPr>
        <w:spacing w:after="200" w:line="300"/>
        <w:jc w:val="both"/>
      </w:pPr>
      <w:r>
        <w:rPr>
          <w:rFonts w:ascii="Georgia" w:cs="Georgia" w:eastAsia="Georgia" w:hAnsi="Georgia"/>
          <w:color w:val="2D2D2D"/>
          <w:sz w:val="21"/>
          <w:szCs w:val="21"/>
        </w:rPr>
        <w:t xml:space="preserve">The genuine concern is not that World Labs competes with Calder today — it’s that World Labs, with $1B+ in funding, could decide to build its own data capture pipeline and vertically integrate. This is the risk Charles should weigh.</w:t>
      </w:r>
    </w:p>
    <w:p>
      <w:pPr>
        <w:spacing w:after="200" w:line="300"/>
        <w:jc w:val="both"/>
      </w:pPr>
      <w:r>
        <w:rPr>
          <w:rFonts w:ascii="Georgia" w:cs="Georgia" w:eastAsia="Georgia" w:hAnsi="Georgia"/>
          <w:b/>
          <w:bCs/>
          <w:color w:val="2D2D2D"/>
          <w:sz w:val="21"/>
          <w:szCs w:val="21"/>
        </w:rPr>
        <w:t xml:space="preserve">Arguments that vertical integration is unlikely:</w:t>
      </w:r>
    </w:p>
    <w:p>
      <w:pPr>
        <w:spacing w:after="200" w:line="300"/>
        <w:jc w:val="both"/>
      </w:pPr>
      <w:r>
        <w:rPr>
          <w:rFonts w:ascii="Georgia" w:cs="Georgia" w:eastAsia="Georgia" w:hAnsi="Georgia"/>
          <w:color w:val="2D2D2D"/>
          <w:sz w:val="21"/>
          <w:szCs w:val="21"/>
        </w:rPr>
        <w:t xml:space="preserve">(a) World Labs’ stated roadmap is focused on generation, interactivity, and spatial reasoning — not hardware-intensive data capture. Their $1B is allocated to model research, not sensor fleets. </w:t>
      </w:r>
      <w:r>
        <w:rPr>
          <w:rFonts w:ascii="Georgia" w:cs="Georgia" w:eastAsia="Georgia" w:hAnsi="Georgia"/>
          <w:color w:val="2D2D2D"/>
          <w:sz w:val="21"/>
          <w:szCs w:val="21"/>
        </w:rPr>
        <w:t xml:space="preserve">(b) Building a global capture operation requires a decade of geospatial expertise (Denis and James built this at Apple and NVIDIA). It is not a software problem. </w:t>
      </w:r>
      <w:r>
        <w:rPr>
          <w:rFonts w:ascii="Georgia" w:cs="Georgia" w:eastAsia="Georgia" w:hAnsi="Georgia"/>
          <w:color w:val="2D2D2D"/>
          <w:sz w:val="21"/>
          <w:szCs w:val="21"/>
        </w:rPr>
        <w:t xml:space="preserve">(c) World Labs’ investors (AMD, NVIDIA, Autodesk) benefit from an open ecosystem where data and models are supplied by different vendors. Vertical integration would concern their own investor base. </w:t>
      </w:r>
      <w:r>
        <w:rPr>
          <w:rFonts w:ascii="Georgia" w:cs="Georgia" w:eastAsia="Georgia" w:hAnsi="Georgia"/>
          <w:color w:val="2D2D2D"/>
          <w:sz w:val="21"/>
          <w:szCs w:val="21"/>
        </w:rPr>
        <w:t xml:space="preserve">(d) Fei-Fei’s 5.3% stake in Calder creates direct financial incentive to buy rather than build.</w:t>
      </w:r>
    </w:p>
    <w:p>
      <w:pPr>
        <w:spacing w:after="200" w:line="300"/>
        <w:jc w:val="both"/>
      </w:pPr>
      <w:r>
        <w:rPr>
          <w:rFonts w:ascii="Georgia" w:cs="Georgia" w:eastAsia="Georgia" w:hAnsi="Georgia"/>
          <w:b/>
          <w:bCs/>
          <w:color w:val="2D2D2D"/>
          <w:sz w:val="21"/>
          <w:szCs w:val="21"/>
        </w:rPr>
        <w:t xml:space="preserve">Arguments that vertical integration is possible:</w:t>
      </w:r>
    </w:p>
    <w:p>
      <w:pPr>
        <w:spacing w:after="200" w:line="300"/>
        <w:jc w:val="both"/>
      </w:pPr>
      <w:r>
        <w:rPr>
          <w:rFonts w:ascii="Georgia" w:cs="Georgia" w:eastAsia="Georgia" w:hAnsi="Georgia"/>
          <w:color w:val="2D2D2D"/>
          <w:sz w:val="21"/>
          <w:szCs w:val="21"/>
        </w:rPr>
        <w:t xml:space="preserve">(a) If Calder’s data proves transformative for Marble’s quality, World Labs may decide the capability is too strategic to outsource. </w:t>
      </w:r>
      <w:r>
        <w:rPr>
          <w:rFonts w:ascii="Georgia" w:cs="Georgia" w:eastAsia="Georgia" w:hAnsi="Georgia"/>
          <w:color w:val="2D2D2D"/>
          <w:sz w:val="21"/>
          <w:szCs w:val="21"/>
        </w:rPr>
        <w:t xml:space="preserve">(b) $1B gives World Labs the resources to acquire a capture company or build a team. </w:t>
      </w:r>
      <w:r>
        <w:rPr>
          <w:rFonts w:ascii="Georgia" w:cs="Georgia" w:eastAsia="Georgia" w:hAnsi="Georgia"/>
          <w:color w:val="2D2D2D"/>
          <w:sz w:val="21"/>
          <w:szCs w:val="21"/>
        </w:rPr>
        <w:t xml:space="preserve">(c) Fei-Fei’s advisory role gives her insight into Calder’s technology and pipeline — information asymmetry that could benefit a build decision.</w:t>
      </w:r>
    </w:p>
    <w:p>
      <w:pPr>
        <w:spacing w:after="150" w:before="200"/>
      </w:pPr>
      <w:r>
        <w:rPr>
          <w:rFonts w:ascii="Arial" w:cs="Arial" w:eastAsia="Arial" w:hAnsi="Arial"/>
          <w:b/>
          <w:bCs/>
          <w:color w:val="1A1A1A"/>
          <w:sz w:val="22"/>
          <w:szCs w:val="22"/>
        </w:rPr>
        <w:t xml:space="preserve">Our Assessment</w:t>
      </w:r>
    </w:p>
    <w:p>
      <w:pPr>
        <w:spacing w:after="200" w:line="300"/>
        <w:jc w:val="both"/>
      </w:pPr>
      <w:r>
        <w:rPr>
          <w:rFonts w:ascii="Georgia" w:cs="Georgia" w:eastAsia="Georgia" w:hAnsi="Georgia"/>
          <w:color w:val="2D2D2D"/>
          <w:sz w:val="21"/>
          <w:szCs w:val="21"/>
        </w:rPr>
        <w:t xml:space="preserve">The most likely outcome is that World Labs becomes one of Calder’s first and most important customers. The Advisor Agreement, a16z’s awareness, and the 5.3% stake all create structural incentives for a buy-not-build outcome. However, this relationship should be actively monitored. A key leading indicator: if World Labs begins hiring geospatial or LiDAR engineers, that signals a shift toward vertical integration. </w:t>
      </w:r>
      <w:r>
        <w:rPr>
          <w:rFonts w:ascii="Georgia" w:cs="Georgia" w:eastAsia="Georgia" w:hAnsi="Georgia"/>
          <w:b/>
          <w:bCs/>
          <w:color w:val="2D2D2D"/>
          <w:sz w:val="21"/>
          <w:szCs w:val="21"/>
        </w:rPr>
        <w:t xml:space="preserve">Recommended action: ask Denis directly whether any data conversations with World Labs have begun, and report back before IC vote.</w:t>
      </w:r>
    </w:p>
    <w:p>
      <w:r>
        <w:br w:type="page"/>
      </w:r>
    </w:p>
    <w:p>
      <w:pPr>
        <w:spacing w:after="200" w:before="100"/>
      </w:pPr>
      <w:r>
        <w:rPr>
          <w:rFonts w:ascii="Arial" w:cs="Arial" w:eastAsia="Arial" w:hAnsi="Arial"/>
          <w:b/>
          <w:bCs/>
          <w:color w:val="C8102E"/>
          <w:spacing w:val="80"/>
          <w:sz w:val="26"/>
          <w:szCs w:val="26"/>
        </w:rPr>
        <w:t xml:space="preserve">COMPETITION</w:t>
      </w:r>
    </w:p>
    <w:p>
      <w:pPr>
        <w:pBdr>
          <w:bottom w:val="single" w:color="C8102E" w:sz="12" w:space="1"/>
        </w:pBdr>
        <w:spacing w:after="200" w:before="200"/>
      </w:pPr>
    </w:p>
    <w:p>
      <w:pPr>
        <w:pBdr>
          <w:left w:val="single" w:color="C8102E" w:sz="24" w:space="8"/>
        </w:pBdr>
        <w:spacing w:after="300" w:before="300" w:line="340"/>
        <w:ind w:left="600"/>
        <w:jc w:val="left"/>
      </w:pPr>
      <w:r>
        <w:rPr>
          <w:rFonts w:ascii="Georgia" w:cs="Georgia" w:eastAsia="Georgia" w:hAnsi="Georgia"/>
          <w:i/>
          <w:iCs/>
          <w:color w:val="C8102E"/>
          <w:sz w:val="24"/>
          <w:szCs w:val="24"/>
        </w:rPr>
        <w:t xml:space="preserve">“Scale AI’s own VP told Congress the U.S. has no equivalent to China’s Physical AI data operations.”</w:t>
      </w:r>
    </w:p>
    <w:p>
      <w:pPr>
        <w:spacing w:after="200" w:line="300"/>
        <w:jc w:val="both"/>
      </w:pPr>
      <w:r>
        <w:rPr>
          <w:rFonts w:ascii="Georgia" w:cs="Georgia" w:eastAsia="Georgia" w:hAnsi="Georgia"/>
          <w:color w:val="2D2D2D"/>
          <w:sz w:val="21"/>
          <w:szCs w:val="21"/>
        </w:rPr>
        <w:t xml:space="preserve">The competitive landscape should be assessed across three layers: annotation platforms, synthetic data generators, and real-world capture infrastructure. Calder operates in the third layer, which has the fewest incumbents and the highest barriers to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Competitor</w:t>
            </w:r>
          </w:p>
        </w:tc>
        <w:tc>
          <w:tcPr>
            <w:tcW w:type="dxa" w:w="358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What They Do</w:t>
            </w:r>
          </w:p>
        </w:tc>
        <w:tc>
          <w:tcPr>
            <w:tcW w:type="dxa" w:w="358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Why It’s Not Calder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Scale AI</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LLM &amp; 2D annotation platform. Restructured in 2025, cut 14% of staff, deprioritizing autonomous driving data.</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Different technical layer. Scale annotates; Calder captures. No 4D sensor infrastructure, no SLAM, no geospatial DNA.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NVIDIA Cosmos / Data Factory Blueprint</w:t>
            </w:r>
          </w:p>
        </w:tc>
        <w:tc>
          <w:tcPr>
            <w:tcW w:type="dxa" w:w="35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Open reference architecture for synthetic Physical AI data generation. Launched March 2026.</w:t>
            </w:r>
          </w:p>
        </w:tc>
        <w:tc>
          <w:tcPr>
            <w:tcW w:type="dxa" w:w="35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Framework, not a dataset. Cosmos generates synthetic data; it cannot replace real-world 4D capture. The sim-to-real gap is what Calder addresses. NVIDIA validates the thesis.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Innodata / Labelbox / Encord</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Annotation and data curation platforms. Innodata securing robotics data contracts in 2026.</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Pure annotation players. No proprietary capture infrastructure. Competing on labor and tooling, not data moats.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World model cos building in-house</w:t>
            </w:r>
          </w:p>
        </w:tc>
        <w:tc>
          <w:tcPr>
            <w:tcW w:type="dxa" w:w="35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World Labs, Physical Intelligence, AMI Labs could theoretically build their own data pipelines.</w:t>
            </w:r>
          </w:p>
        </w:tc>
        <w:tc>
          <w:tcPr>
            <w:tcW w:type="dxa" w:w="35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Prohibitively specialized. These teams hired Calder’s founders when they were at Apple and NVIDIA. The domain expertise takes a decade to build.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China state-backed operations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Industrialized warehouse-scale robot training data collection. Government-funded.</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The most credible competitive threat. Mitigant: Singapore neutrality, US Treasury compliance, Wu’s prior navigation of China ops. Calder’s data is export-friendly; China’s is not.</w:t>
            </w:r>
          </w:p>
        </w:tc>
      </w:tr>
    </w:tbl>
    <w:p>
      <w:pPr>
        <w:spacing w:before="300"/>
        <w:jc w:val="both"/>
      </w:pPr>
      <w:r>
        <w:rPr>
          <w:rFonts w:ascii="Georgia" w:cs="Georgia" w:eastAsia="Georgia" w:hAnsi="Georgia"/>
          <w:color w:val="2D2D2D"/>
          <w:sz w:val="21"/>
          <w:szCs w:val="21"/>
        </w:rPr>
        <w:t xml:space="preserve">Calder’s moat is capture infrastructure, not annotation labor. The </w:t>
      </w:r>
      <w:hyperlink w:history="1" r:id="rIdhbhox9zgy8zmdgeuqhtbs">
        <w:r>
          <w:rPr>
            <w:rFonts w:ascii="Georgia" w:cs="Georgia" w:eastAsia="Georgia" w:hAnsi="Georgia"/>
            <w:color w:val="0563C1"/>
            <w:sz w:val="21"/>
            <w:szCs w:val="21"/>
            <w:u w:val="single"/>
          </w:rPr>
          <w:t xml:space="preserve">4D multimodal pipeline</w:t>
        </w:r>
      </w:hyperlink>
      <w:r>
        <w:rPr>
          <w:rFonts w:ascii="Georgia" w:cs="Georgia" w:eastAsia="Georgia" w:hAnsi="Georgia"/>
          <w:color w:val="2D2D2D"/>
          <w:sz w:val="21"/>
          <w:szCs w:val="21"/>
        </w:rPr>
        <w:t xml:space="preserve"> — </w:t>
      </w:r>
      <w:hyperlink w:history="1" r:id="rIduqx46vqdfjfymngza9wso">
        <w:r>
          <w:rPr>
            <w:rFonts w:ascii="Georgia" w:cs="Georgia" w:eastAsia="Georgia" w:hAnsi="Georgia"/>
            <w:color w:val="0563C1"/>
            <w:sz w:val="21"/>
            <w:szCs w:val="21"/>
            <w:u w:val="single"/>
          </w:rPr>
          <w:t xml:space="preserve">LiDAR</w:t>
        </w:r>
      </w:hyperlink>
      <w:r>
        <w:rPr>
          <w:rFonts w:ascii="Georgia" w:cs="Georgia" w:eastAsia="Georgia" w:hAnsi="Georgia"/>
          <w:color w:val="2D2D2D"/>
          <w:sz w:val="21"/>
          <w:szCs w:val="21"/>
        </w:rPr>
        <w:t xml:space="preserve">, depth, IMU, RGB, </w:t>
      </w:r>
      <w:hyperlink w:history="1" r:id="rIdchjbqeb6jdywx4pm7610c">
        <w:r>
          <w:rPr>
            <w:rFonts w:ascii="Georgia" w:cs="Georgia" w:eastAsia="Georgia" w:hAnsi="Georgia"/>
            <w:color w:val="0563C1"/>
            <w:sz w:val="21"/>
            <w:szCs w:val="21"/>
            <w:u w:val="single"/>
          </w:rPr>
          <w:t xml:space="preserve">SLAM</w:t>
        </w:r>
      </w:hyperlink>
      <w:r>
        <w:rPr>
          <w:rFonts w:ascii="Georgia" w:cs="Georgia" w:eastAsia="Georgia" w:hAnsi="Georgia"/>
          <w:color w:val="2D2D2D"/>
          <w:sz w:val="21"/>
          <w:szCs w:val="21"/>
        </w:rPr>
        <w:t xml:space="preserve"> maps — requires a decade of geospatial expertise. Denis built it at Apple. James built it at NVIDIA.</w:t>
      </w:r>
    </w:p>
    <w:p>
      <w:r>
        <w:br w:type="page"/>
      </w:r>
    </w:p>
    <w:p>
      <w:pPr>
        <w:spacing w:after="200" w:before="100"/>
      </w:pPr>
      <w:r>
        <w:rPr>
          <w:rFonts w:ascii="Arial" w:cs="Arial" w:eastAsia="Arial" w:hAnsi="Arial"/>
          <w:b/>
          <w:bCs/>
          <w:color w:val="C8102E"/>
          <w:spacing w:val="80"/>
          <w:sz w:val="26"/>
          <w:szCs w:val="26"/>
        </w:rPr>
        <w:t xml:space="preserve">SWOT ANALYSIS</w:t>
      </w:r>
    </w:p>
    <w:p>
      <w:pPr>
        <w:pBdr>
          <w:bottom w:val="single" w:color="C8102E" w:sz="1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20"/>
                <w:szCs w:val="20"/>
              </w:rPr>
              <w:t xml:space="preserve">STRENGTHS</w:t>
            </w:r>
          </w:p>
        </w:tc>
        <w:tc>
          <w:tcPr>
            <w:tcW w:type="dxa" w:w="4680"/>
            <w:tcBorders>
              <w:top w:val="single" w:color="DDDDDD" w:sz="1"/>
              <w:left w:val="single" w:color="DDDDDD" w:sz="1"/>
              <w:bottom w:val="single" w:color="DDDDDD" w:sz="1"/>
              <w:right w:val="single" w:color="DDDDDD" w:sz="1"/>
            </w:tcBorders>
            <w:shd w:fill="2D2D2D" w:val="clear"/>
            <w:tcMar>
              <w:top w:type="dxa" w:w="80"/>
              <w:left w:type="dxa" w:w="140"/>
              <w:bottom w:type="dxa" w:w="80"/>
              <w:right w:type="dxa" w:w="140"/>
            </w:tcMar>
          </w:tcPr>
          <w:p>
            <w:r>
              <w:rPr>
                <w:rFonts w:ascii="Arial" w:cs="Arial" w:eastAsia="Arial" w:hAnsi="Arial"/>
                <w:b/>
                <w:bCs/>
                <w:color w:val="FFFFFF"/>
                <w:sz w:val="20"/>
                <w:szCs w:val="20"/>
              </w:rPr>
              <w:t xml:space="preserve">WEAKNESSES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80" w:line="280"/>
            </w:pPr>
            <w:r>
              <w:rPr>
                <w:rFonts w:ascii="Georgia" w:cs="Georgia" w:eastAsia="Georgia" w:hAnsi="Georgia"/>
                <w:color w:val="2D2D2D"/>
                <w:sz w:val="17"/>
                <w:szCs w:val="17"/>
              </w:rPr>
              <w:t xml:space="preserve">— 4D multimodal capture pipeline — SLAM, LiDAR, depth, IMU, RGB. No competitor has this at scale.</w:t>
            </w:r>
          </w:p>
          <w:p>
            <w:pPr>
              <w:spacing w:after="80" w:line="280"/>
            </w:pPr>
            <w:r>
              <w:rPr>
                <w:rFonts w:ascii="Georgia" w:cs="Georgia" w:eastAsia="Georgia" w:hAnsi="Georgia"/>
                <w:color w:val="2D2D2D"/>
                <w:sz w:val="17"/>
                <w:szCs w:val="17"/>
              </w:rPr>
              <w:t xml:space="preserve">— Team: 8 exits to Apple, NVIDIA, Rakuten, Google. Denis + James built foundational geo/mapping infra.</w:t>
            </w:r>
          </w:p>
          <w:p>
            <w:pPr>
              <w:spacing w:after="80" w:line="280"/>
            </w:pPr>
            <w:r>
              <w:rPr>
                <w:rFonts w:ascii="Georgia" w:cs="Georgia" w:eastAsia="Georgia" w:hAnsi="Georgia"/>
                <w:color w:val="2D2D2D"/>
                <w:sz w:val="17"/>
                <w:szCs w:val="17"/>
              </w:rPr>
              <w:t xml:space="preserve">— Singapore structure: geopolitically neutral, US Treasury-compliant, global capture operations.</w:t>
            </w:r>
          </w:p>
          <w:p>
            <w:pPr>
              <w:spacing w:after="80" w:line="280"/>
            </w:pPr>
            <w:r>
              <w:rPr>
                <w:rFonts w:ascii="Georgia" w:cs="Georgia" w:eastAsia="Georgia" w:hAnsi="Georgia"/>
                <w:color w:val="2D2D2D"/>
                <w:sz w:val="17"/>
                <w:szCs w:val="17"/>
              </w:rPr>
              <w:t xml:space="preserve">— Tier-1 lead (a16z, Casado personally), Fei-Fei Li advisory.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80" w:line="280"/>
            </w:pPr>
            <w:r>
              <w:rPr>
                <w:rFonts w:ascii="Georgia" w:cs="Georgia" w:eastAsia="Georgia" w:hAnsi="Georgia"/>
                <w:color w:val="2D2D2D"/>
                <w:sz w:val="17"/>
                <w:szCs w:val="17"/>
              </w:rPr>
              <w:t xml:space="preserve">— Pre-revenue. Two months old. $500M pre-money requires conviction in team with zero commercial proof.</w:t>
            </w:r>
          </w:p>
          <w:p>
            <w:pPr>
              <w:spacing w:after="80" w:line="280"/>
            </w:pPr>
            <w:r>
              <w:rPr>
                <w:rFonts w:ascii="Georgia" w:cs="Georgia" w:eastAsia="Georgia" w:hAnsi="Georgia"/>
                <w:color w:val="2D2D2D"/>
                <w:sz w:val="17"/>
                <w:szCs w:val="17"/>
              </w:rPr>
              <w:t xml:space="preserve">— Fei-Fei Li is CEO of World Labs — a direct world model customer and potential competitor.</w:t>
            </w:r>
          </w:p>
          <w:p>
            <w:pPr>
              <w:spacing w:after="80" w:line="280"/>
            </w:pPr>
            <w:r>
              <w:rPr>
                <w:rFonts w:ascii="Georgia" w:cs="Georgia" w:eastAsia="Georgia" w:hAnsi="Georgia"/>
                <w:color w:val="2D2D2D"/>
                <w:sz w:val="17"/>
                <w:szCs w:val="17"/>
              </w:rPr>
              <w:t xml:space="preserve">— a16z approves subsequent investors &gt;$5M. Governance concentration risk at seed.</w:t>
            </w:r>
          </w:p>
          <w:p>
            <w:pPr>
              <w:spacing w:after="80" w:line="280"/>
            </w:pPr>
            <w:r>
              <w:rPr>
                <w:rFonts w:ascii="Georgia" w:cs="Georgia" w:eastAsia="Georgia" w:hAnsi="Georgia"/>
                <w:color w:val="2D2D2D"/>
                <w:sz w:val="17"/>
                <w:szCs w:val="17"/>
              </w:rPr>
              <w:t xml:space="preserve">— Singapore KYC burden. Complexity of dual-entity structure adds closing timeline risk.</w:t>
            </w:r>
          </w:p>
          <w:p>
            <w:pPr>
              <w:spacing w:after="80" w:line="280"/>
            </w:pPr>
            <w:r>
              <w:rPr>
                <w:rFonts w:ascii="Georgia" w:cs="Georgia" w:eastAsia="Georgia" w:hAnsi="Georgia"/>
                <w:color w:val="2D2D2D"/>
                <w:sz w:val="17"/>
                <w:szCs w:val="17"/>
              </w:rPr>
              <w:t xml:space="preserve">— Synthetic data risk: if Cosmos closes the sim-to-real gap faster than expected, demand for real-world data declines.</w:t>
            </w:r>
          </w:p>
        </w:tc>
      </w:tr>
      <w:tr>
        <w:tc>
          <w:tcPr>
            <w:tcW w:type="dxa" w:w="468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OPPORTUNITIES</w:t>
            </w:r>
          </w:p>
        </w:tc>
        <w:tc>
          <w:tcPr>
            <w:tcW w:type="dxa" w:w="4680"/>
            <w:tcBorders>
              <w:top w:val="single" w:color="DDDDDD" w:sz="1"/>
              <w:left w:val="single" w:color="DDDDDD" w:sz="1"/>
              <w:bottom w:val="single" w:color="DDDDDD" w:sz="1"/>
              <w:right w:val="single" w:color="DDDDDD" w:sz="1"/>
            </w:tcBorders>
            <w:shd w:fill="666666" w:val="clear"/>
            <w:tcMar>
              <w:top w:type="dxa" w:w="80"/>
              <w:left w:type="dxa" w:w="140"/>
              <w:bottom w:type="dxa" w:w="80"/>
              <w:right w:type="dxa" w:w="140"/>
            </w:tcMar>
          </w:tcPr>
          <w:p>
            <w:r>
              <w:rPr>
                <w:rFonts w:ascii="Arial" w:cs="Arial" w:eastAsia="Arial" w:hAnsi="Arial"/>
                <w:b/>
                <w:bCs/>
                <w:color w:val="FFFFFF"/>
                <w:sz w:val="20"/>
                <w:szCs w:val="20"/>
              </w:rPr>
              <w:t xml:space="preserve">THREATS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80" w:line="280"/>
            </w:pPr>
            <w:r>
              <w:rPr>
                <w:rFonts w:ascii="Georgia" w:cs="Georgia" w:eastAsia="Georgia" w:hAnsi="Georgia"/>
                <w:color w:val="2D2D2D"/>
                <w:sz w:val="17"/>
                <w:szCs w:val="17"/>
              </w:rPr>
              <w:t xml:space="preserve">— $2.3B+ deployed in world model companies in Q1 2026 alone. Every one is a potential customer.</w:t>
            </w:r>
          </w:p>
          <w:p>
            <w:pPr>
              <w:spacing w:after="80" w:line="280"/>
            </w:pPr>
            <w:r>
              <w:rPr>
                <w:rFonts w:ascii="Georgia" w:cs="Georgia" w:eastAsia="Georgia" w:hAnsi="Georgia"/>
                <w:color w:val="2D2D2D"/>
                <w:sz w:val="17"/>
                <w:szCs w:val="17"/>
              </w:rPr>
              <w:t xml:space="preserve">— NVIDIA Cosmos validates demand for real-world data to close the sim-to-real gap.</w:t>
            </w:r>
          </w:p>
          <w:p>
            <w:pPr>
              <w:spacing w:after="80" w:line="280"/>
            </w:pPr>
            <w:r>
              <w:rPr>
                <w:rFonts w:ascii="Georgia" w:cs="Georgia" w:eastAsia="Georgia" w:hAnsi="Georgia"/>
                <w:color w:val="2D2D2D"/>
                <w:sz w:val="17"/>
                <w:szCs w:val="17"/>
              </w:rPr>
              <w:t xml:space="preserve">— Entertainment unlock: when world models power game engines, Calder’s TAM expands substantially.</w:t>
            </w:r>
          </w:p>
          <w:p>
            <w:pPr>
              <w:spacing w:after="80" w:line="280"/>
            </w:pPr>
            <w:r>
              <w:rPr>
                <w:rFonts w:ascii="Georgia" w:cs="Georgia" w:eastAsia="Georgia" w:hAnsi="Georgia"/>
                <w:color w:val="2D2D2D"/>
                <w:sz w:val="17"/>
                <w:szCs w:val="17"/>
              </w:rPr>
              <w:t xml:space="preserve">— US government tailwind: Congress hearing on robot data gap may drive domestic infrastructure investment.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80" w:line="280"/>
            </w:pPr>
            <w:r>
              <w:rPr>
                <w:rFonts w:ascii="Georgia" w:cs="Georgia" w:eastAsia="Georgia" w:hAnsi="Georgia"/>
                <w:color w:val="2D2D2D"/>
                <w:sz w:val="17"/>
                <w:szCs w:val="17"/>
              </w:rPr>
              <w:t xml:space="preserve">— China state-backed data operations. Industrialized, government-funded, no cost discipline.</w:t>
            </w:r>
          </w:p>
          <w:p>
            <w:pPr>
              <w:spacing w:after="80" w:line="280"/>
            </w:pPr>
            <w:r>
              <w:rPr>
                <w:rFonts w:ascii="Georgia" w:cs="Georgia" w:eastAsia="Georgia" w:hAnsi="Georgia"/>
                <w:color w:val="2D2D2D"/>
                <w:sz w:val="17"/>
                <w:szCs w:val="17"/>
              </w:rPr>
              <w:t xml:space="preserve">— World model companies building in-house if Calder takes too long to deliver at scale.</w:t>
            </w:r>
          </w:p>
          <w:p>
            <w:pPr>
              <w:spacing w:after="80" w:line="280"/>
            </w:pPr>
            <w:r>
              <w:rPr>
                <w:rFonts w:ascii="Georgia" w:cs="Georgia" w:eastAsia="Georgia" w:hAnsi="Georgia"/>
                <w:color w:val="2D2D2D"/>
                <w:sz w:val="17"/>
                <w:szCs w:val="17"/>
              </w:rPr>
              <w:t xml:space="preserve">— Regulatory risk: data privacy laws in key capture markets (EU, Japan) could restrict collection.</w:t>
            </w:r>
          </w:p>
          <w:p>
            <w:pPr>
              <w:spacing w:after="80" w:line="280"/>
            </w:pPr>
            <w:r>
              <w:rPr>
                <w:rFonts w:ascii="Georgia" w:cs="Georgia" w:eastAsia="Georgia" w:hAnsi="Georgia"/>
                <w:color w:val="2D2D2D"/>
                <w:sz w:val="17"/>
                <w:szCs w:val="17"/>
              </w:rPr>
              <w:t xml:space="preserve">— Capital intensity of global data capture could require follow-on before revenue proves the model.</w:t>
            </w:r>
          </w:p>
        </w:tc>
      </w:tr>
    </w:tbl>
    <w:p>
      <w:r>
        <w:br w:type="page"/>
      </w:r>
    </w:p>
    <w:p>
      <w:pPr>
        <w:spacing w:after="200" w:before="100"/>
      </w:pPr>
      <w:r>
        <w:rPr>
          <w:rFonts w:ascii="Arial" w:cs="Arial" w:eastAsia="Arial" w:hAnsi="Arial"/>
          <w:b/>
          <w:bCs/>
          <w:color w:val="C8102E"/>
          <w:spacing w:val="80"/>
          <w:sz w:val="26"/>
          <w:szCs w:val="26"/>
        </w:rPr>
        <w:t xml:space="preserve">USE OF PROCEEDS &amp; MILESTONES</w:t>
      </w:r>
    </w:p>
    <w:p>
      <w:pPr>
        <w:pBdr>
          <w:bottom w:val="single" w:color="C8102E" w:sz="12" w:space="1"/>
        </w:pBdr>
        <w:spacing w:after="200" w:before="200"/>
      </w:pPr>
    </w:p>
    <w:p>
      <w:pPr>
        <w:spacing w:after="200" w:line="300"/>
        <w:jc w:val="both"/>
      </w:pPr>
      <w:r>
        <w:rPr>
          <w:rFonts w:ascii="Georgia" w:cs="Georgia" w:eastAsia="Georgia" w:hAnsi="Georgia"/>
          <w:color w:val="2D2D2D"/>
          <w:sz w:val="21"/>
          <w:szCs w:val="21"/>
        </w:rPr>
        <w:t xml:space="preserve">The $100M round (including $10M in prior SAFEs) is sized to fund Calder through 18–24 months of execution. The capital deployment plan reflects an infrastructure company building capture operations, a data platform, and an initial customer base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243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Est. Allocation</w:t>
            </w:r>
          </w:p>
        </w:tc>
        <w:tc>
          <w:tcPr>
            <w:tcW w:type="dxa" w:w="343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Purpose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Data Capture Infrastructure</w:t>
            </w:r>
          </w:p>
        </w:tc>
        <w:tc>
          <w:tcPr>
            <w:tcW w:type="dxa" w:w="2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~35% ($35M)</w:t>
            </w:r>
          </w:p>
        </w:tc>
        <w:tc>
          <w:tcPr>
            <w:tcW w:type="dxa" w:w="3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Global sensor deployment, LiDAR/depth/IMU hardware, capture team operations across US, Europe, and Asia-Pacific.</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Platform Engineering</w:t>
            </w:r>
          </w:p>
        </w:tc>
        <w:tc>
          <w:tcPr>
            <w:tcW w:type="dxa" w:w="243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~30% ($30M)</w:t>
            </w:r>
          </w:p>
        </w:tc>
        <w:tc>
          <w:tcPr>
            <w:tcW w:type="dxa" w:w="343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SLAM pipeline, semantic enrichment engine, API layer, data delivery infrastructure. Scaling the Source→Structure→Enrich→Deliver stack.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Talent</w:t>
            </w:r>
          </w:p>
        </w:tc>
        <w:tc>
          <w:tcPr>
            <w:tcW w:type="dxa" w:w="2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~20% ($20M)</w:t>
            </w:r>
          </w:p>
        </w:tc>
        <w:tc>
          <w:tcPr>
            <w:tcW w:type="dxa" w:w="3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Hiring to ~40–50 people. Key roles: geospatial engineers, ML researchers, sales/BD, and a Head of Revenue.</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Go-to-Market &amp; Partnerships</w:t>
            </w:r>
          </w:p>
        </w:tc>
        <w:tc>
          <w:tcPr>
            <w:tcW w:type="dxa" w:w="243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~10% ($10M)</w:t>
            </w:r>
          </w:p>
        </w:tc>
        <w:tc>
          <w:tcPr>
            <w:tcW w:type="dxa" w:w="343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NVIDIA ecosystem integration, world model company partnerships, initial enterprise sales team.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G&amp;A / Legal / Buffer</w:t>
            </w:r>
          </w:p>
        </w:tc>
        <w:tc>
          <w:tcPr>
            <w:tcW w:type="dxa" w:w="2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~5% ($5M)</w:t>
            </w:r>
          </w:p>
        </w:tc>
        <w:tc>
          <w:tcPr>
            <w:tcW w:type="dxa" w:w="3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Singapore/Delaware operations, IP filings, regulatory compliance, working capital.</w:t>
            </w:r>
          </w:p>
        </w:tc>
      </w:tr>
    </w:tbl>
    <w:p>
      <w:pPr>
        <w:spacing w:after="150" w:before="200"/>
      </w:pPr>
      <w:r>
        <w:rPr>
          <w:rFonts w:ascii="Arial" w:cs="Arial" w:eastAsia="Arial" w:hAnsi="Arial"/>
          <w:b/>
          <w:bCs/>
          <w:color w:val="1A1A1A"/>
          <w:sz w:val="22"/>
          <w:szCs w:val="22"/>
        </w:rPr>
        <w:t xml:space="preserve">18-Month Milestones</w:t>
      </w:r>
    </w:p>
    <w:p>
      <w:pPr>
        <w:spacing w:after="200" w:line="300"/>
        <w:jc w:val="both"/>
      </w:pPr>
      <w:r>
        <w:rPr>
          <w:rFonts w:ascii="Georgia" w:cs="Georgia" w:eastAsia="Georgia" w:hAnsi="Georgia"/>
          <w:b/>
          <w:bCs/>
          <w:color w:val="2D2D2D"/>
          <w:sz w:val="21"/>
          <w:szCs w:val="21"/>
        </w:rPr>
        <w:t xml:space="preserve">Q3 2026: </w:t>
      </w:r>
      <w:r>
        <w:rPr>
          <w:rFonts w:ascii="Georgia" w:cs="Georgia" w:eastAsia="Georgia" w:hAnsi="Georgia"/>
          <w:color w:val="2D2D2D"/>
          <w:sz w:val="21"/>
          <w:szCs w:val="21"/>
        </w:rPr>
        <w:t xml:space="preserve">First commercial data delivery contracts signed. Target: 2–3 world model companies as paying customers.</w:t>
      </w:r>
    </w:p>
    <w:p>
      <w:pPr>
        <w:spacing w:after="200" w:line="300"/>
        <w:jc w:val="both"/>
      </w:pPr>
      <w:r>
        <w:rPr>
          <w:rFonts w:ascii="Georgia" w:cs="Georgia" w:eastAsia="Georgia" w:hAnsi="Georgia"/>
          <w:b/>
          <w:bCs/>
          <w:color w:val="2D2D2D"/>
          <w:sz w:val="21"/>
          <w:szCs w:val="21"/>
        </w:rPr>
        <w:t xml:space="preserve">Q4 2026: </w:t>
      </w:r>
      <w:r>
        <w:rPr>
          <w:rFonts w:ascii="Georgia" w:cs="Georgia" w:eastAsia="Georgia" w:hAnsi="Georgia"/>
          <w:color w:val="2D2D2D"/>
          <w:sz w:val="21"/>
          <w:szCs w:val="21"/>
        </w:rPr>
        <w:t xml:space="preserve">Capture operations active in 3+ geographies. Pipeline of 10+ enterprise prospects.</w:t>
      </w:r>
    </w:p>
    <w:p>
      <w:pPr>
        <w:spacing w:after="200" w:line="300"/>
        <w:jc w:val="both"/>
      </w:pPr>
      <w:r>
        <w:rPr>
          <w:rFonts w:ascii="Georgia" w:cs="Georgia" w:eastAsia="Georgia" w:hAnsi="Georgia"/>
          <w:b/>
          <w:bCs/>
          <w:color w:val="2D2D2D"/>
          <w:sz w:val="21"/>
          <w:szCs w:val="21"/>
        </w:rPr>
        <w:t xml:space="preserve">H1 2027: </w:t>
      </w:r>
      <w:r>
        <w:rPr>
          <w:rFonts w:ascii="Georgia" w:cs="Georgia" w:eastAsia="Georgia" w:hAnsi="Georgia"/>
          <w:color w:val="2D2D2D"/>
          <w:sz w:val="21"/>
          <w:szCs w:val="21"/>
        </w:rPr>
        <w:t xml:space="preserve">$5–10M ARR run-rate. NVIDIA Cosmos ecosystem integration validated. Data moat measurable (volume of unique 4D environments captured).</w:t>
      </w:r>
    </w:p>
    <w:p>
      <w:pPr>
        <w:spacing w:after="200" w:line="300"/>
        <w:jc w:val="both"/>
      </w:pPr>
      <w:r>
        <w:rPr>
          <w:rFonts w:ascii="Georgia" w:cs="Georgia" w:eastAsia="Georgia" w:hAnsi="Georgia"/>
          <w:b/>
          <w:bCs/>
          <w:color w:val="2D2D2D"/>
          <w:sz w:val="21"/>
          <w:szCs w:val="21"/>
        </w:rPr>
        <w:t xml:space="preserve">H2 2027: </w:t>
      </w:r>
      <w:r>
        <w:rPr>
          <w:rFonts w:ascii="Georgia" w:cs="Georgia" w:eastAsia="Georgia" w:hAnsi="Georgia"/>
          <w:color w:val="2D2D2D"/>
          <w:sz w:val="21"/>
          <w:szCs w:val="21"/>
        </w:rPr>
        <w:t xml:space="preserve">Series A readiness. Demonstrate repeatable go-to-market motion and customer retention. Target: $15–20M ARR run-rate entering next raise.</w:t>
      </w:r>
    </w:p>
    <w:p>
      <w:pPr>
        <w:spacing w:before="200"/>
        <w:jc w:val="both"/>
      </w:pPr>
      <w:r>
        <w:rPr>
          <w:rFonts w:ascii="Georgia" w:cs="Georgia" w:eastAsia="Georgia" w:hAnsi="Georgia"/>
          <w:color w:val="2D2D2D"/>
          <w:sz w:val="21"/>
          <w:szCs w:val="21"/>
        </w:rPr>
        <w:t xml:space="preserve">Failure to hit $5M ARR by mid-2027 would signal a go-to-market problem rather than a technology problem, and should trigger a reassessment of the commercial strategy.</w:t>
      </w:r>
    </w:p>
    <w:p>
      <w:r>
        <w:br w:type="page"/>
      </w:r>
    </w:p>
    <w:p>
      <w:pPr>
        <w:spacing w:after="200" w:before="100"/>
      </w:pPr>
      <w:r>
        <w:rPr>
          <w:rFonts w:ascii="Arial" w:cs="Arial" w:eastAsia="Arial" w:hAnsi="Arial"/>
          <w:b/>
          <w:bCs/>
          <w:color w:val="C8102E"/>
          <w:spacing w:val="80"/>
          <w:sz w:val="26"/>
          <w:szCs w:val="26"/>
        </w:rPr>
        <w:t xml:space="preserve">TRIPTYQ ALLOCATION &amp; RETURNS</w:t>
      </w:r>
    </w:p>
    <w:p>
      <w:pPr>
        <w:pBdr>
          <w:bottom w:val="single" w:color="C8102E" w:sz="12" w:space="1"/>
        </w:pBdr>
        <w:spacing w:after="200" w:before="200"/>
      </w:pPr>
    </w:p>
    <w:p>
      <w:pPr>
        <w:spacing w:after="200" w:line="300"/>
        <w:jc w:val="both"/>
      </w:pPr>
      <w:r>
        <w:rPr>
          <w:rFonts w:ascii="Georgia" w:cs="Georgia" w:eastAsia="Georgia" w:hAnsi="Georgia"/>
          <w:color w:val="2D2D2D"/>
          <w:sz w:val="21"/>
          <w:szCs w:val="21"/>
        </w:rPr>
        <w:t xml:space="preserve">Triptyq is participating with a $500K allocation in this round. At a $600M post-money valuation, this represents 0.083% ownership. The position reflects our role as a non-lead investor in a round where our access was secured through a direct founder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Exit Valuation</w:t>
            </w:r>
          </w:p>
        </w:tc>
        <w:tc>
          <w:tcPr>
            <w:tcW w:type="dxa" w:w="234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Triptyq Stake Value</w:t>
            </w:r>
          </w:p>
        </w:tc>
        <w:tc>
          <w:tcPr>
            <w:tcW w:type="dxa" w:w="234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Return Multiple</w:t>
            </w:r>
          </w:p>
        </w:tc>
        <w:tc>
          <w:tcPr>
            <w:tcW w:type="dxa" w:w="234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Scenario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$833K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1.7x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Modest (below seed valuation)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$2B</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$1.67M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3.3x</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Strategic acq. (low end)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$5B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$4.17M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8.3x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Strong Series B/C</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$10B</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$8.33M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16.7x</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Strategic acq. (high end)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$30B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$25.0M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50.0x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IPO / decacorn path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$45B</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$37.5M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75.0x</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Full upside scenario</w:t>
            </w:r>
          </w:p>
        </w:tc>
      </w:tr>
    </w:tbl>
    <w:p>
      <w:pPr>
        <w:spacing w:after="200" w:before="80"/>
        <w:jc w:val="left"/>
      </w:pPr>
      <w:r>
        <w:rPr>
          <w:rFonts w:ascii="Georgia" w:cs="Georgia" w:eastAsia="Georgia" w:hAnsi="Georgia"/>
          <w:i/>
          <w:iCs/>
          <w:color w:val="999999"/>
          <w:sz w:val="16"/>
          <w:szCs w:val="16"/>
        </w:rPr>
        <w:t xml:space="preserve">Assumes no dilution. Actual returns will be reduced by subsequent fundraising rounds (typically 15–25% dilution per round).</w:t>
      </w:r>
    </w:p>
    <w:p>
      <w:pPr>
        <w:spacing w:before="200"/>
        <w:jc w:val="both"/>
      </w:pPr>
      <w:r>
        <w:rPr>
          <w:rFonts w:ascii="Georgia" w:cs="Georgia" w:eastAsia="Georgia" w:hAnsi="Georgia"/>
          <w:color w:val="2D2D2D"/>
          <w:sz w:val="21"/>
          <w:szCs w:val="21"/>
        </w:rPr>
        <w:t xml:space="preserve">At the base case of a $5–10B outcome (strategic acquisition), the $500K returns $4–8M — a meaningful contribution to Fund I on a risk-adjusted basis. The position also carries strategic value: maintaining a seat in the Physical AI data infrastructure ecosystem, strengthening our relationship with the founding team, and generating proprietary deal flow in adjacent companies.</w:t>
      </w:r>
    </w:p>
    <w:p>
      <w:pPr>
        <w:spacing w:after="200" w:line="300"/>
        <w:jc w:val="both"/>
      </w:pPr>
      <w:r>
        <w:rPr>
          <w:rFonts w:ascii="Georgia" w:cs="Georgia" w:eastAsia="Georgia" w:hAnsi="Georgia"/>
          <w:color w:val="2D2D2D"/>
          <w:sz w:val="21"/>
          <w:szCs w:val="21"/>
        </w:rPr>
        <w:t xml:space="preserve">Downside risk is capped at $500K. The 1x non-participating liquidation preference means we get our money back before common in a downside scenario, though at this entry price, any outcome below $600M represents a loss.</w:t>
      </w:r>
    </w:p>
    <w:p>
      <w:r>
        <w:br w:type="page"/>
      </w:r>
    </w:p>
    <w:p>
      <w:pPr>
        <w:spacing w:after="200" w:before="100"/>
      </w:pPr>
      <w:r>
        <w:rPr>
          <w:rFonts w:ascii="Arial" w:cs="Arial" w:eastAsia="Arial" w:hAnsi="Arial"/>
          <w:b/>
          <w:bCs/>
          <w:color w:val="C8102E"/>
          <w:spacing w:val="80"/>
          <w:sz w:val="26"/>
          <w:szCs w:val="26"/>
        </w:rPr>
        <w:t xml:space="preserve">CUSTOMER PIPELINE &amp; GO-TO-MARKET</w:t>
      </w:r>
    </w:p>
    <w:p>
      <w:pPr>
        <w:pBdr>
          <w:bottom w:val="single" w:color="C8102E" w:sz="12" w:space="1"/>
        </w:pBdr>
        <w:spacing w:after="200" w:before="200"/>
      </w:pPr>
    </w:p>
    <w:p>
      <w:pPr>
        <w:spacing w:after="200" w:line="300"/>
        <w:jc w:val="both"/>
      </w:pPr>
      <w:r>
        <w:rPr>
          <w:rFonts w:ascii="Georgia" w:cs="Georgia" w:eastAsia="Georgia" w:hAnsi="Georgia"/>
          <w:color w:val="2D2D2D"/>
          <w:sz w:val="21"/>
          <w:szCs w:val="21"/>
        </w:rPr>
        <w:t xml:space="preserve">Calder is pre-revenue but not pre-demand. The founding team’s relationships from Apple, NVIDIA, and Cohere provide direct access to funded world model companies actively purchasing training data. Note: the prospects below are based on market mapping and team relationships, not confirmed LOIs or contracts. Converting these into paying customers is the primary execution risk post-close.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30"/>
        <w:gridCol w:w="4930"/>
      </w:tblGrid>
      <w:tr>
        <w:tc>
          <w:tcPr>
            <w:tcW w:type="dxa" w:w="25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Prospect</w:t>
            </w:r>
          </w:p>
        </w:tc>
        <w:tc>
          <w:tcPr>
            <w:tcW w:type="dxa" w:w="193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Funding</w:t>
            </w:r>
          </w:p>
        </w:tc>
        <w:tc>
          <w:tcPr>
            <w:tcW w:type="dxa" w:w="493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Data Need &amp; Connection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World Labs (Fei-Fei Li)</w:t>
            </w:r>
          </w:p>
        </w:tc>
        <w:tc>
          <w:tcPr>
            <w:tcW w:type="dxa" w:w="19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$1B</w:t>
            </w:r>
          </w:p>
        </w:tc>
        <w:tc>
          <w:tcPr>
            <w:tcW w:type="dxa" w:w="49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4D environment data for spatial AI. Direct link via Fei-Fei’s advisory role.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AMI Labs</w:t>
            </w:r>
          </w:p>
        </w:tc>
        <w:tc>
          <w:tcPr>
            <w:tcW w:type="dxa" w:w="193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$1.03B</w:t>
            </w:r>
          </w:p>
        </w:tc>
        <w:tc>
          <w:tcPr>
            <w:tcW w:type="dxa" w:w="493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Real-world training data for robotics foundation models.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Skild AI</w:t>
            </w:r>
          </w:p>
        </w:tc>
        <w:tc>
          <w:tcPr>
            <w:tcW w:type="dxa" w:w="19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$300M+</w:t>
            </w:r>
          </w:p>
        </w:tc>
        <w:tc>
          <w:tcPr>
            <w:tcW w:type="dxa" w:w="49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Multi-modal robot training data. Already using NVIDIA Cosmos.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Physical Intelligence</w:t>
            </w:r>
          </w:p>
        </w:tc>
        <w:tc>
          <w:tcPr>
            <w:tcW w:type="dxa" w:w="193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$400M</w:t>
            </w:r>
          </w:p>
        </w:tc>
        <w:tc>
          <w:tcPr>
            <w:tcW w:type="dxa" w:w="493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Manipulation and locomotion data for general-purpose robots.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Figure AI</w:t>
            </w:r>
          </w:p>
        </w:tc>
        <w:tc>
          <w:tcPr>
            <w:tcW w:type="dxa" w:w="19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$675M</w:t>
            </w:r>
          </w:p>
        </w:tc>
        <w:tc>
          <w:tcPr>
            <w:tcW w:type="dxa" w:w="49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Humanoid robot training data across diverse environments.</w:t>
            </w:r>
          </w:p>
        </w:tc>
      </w:tr>
    </w:tbl>
    <w:p>
      <w:pPr>
        <w:spacing w:after="150" w:before="200"/>
      </w:pPr>
      <w:r>
        <w:rPr>
          <w:rFonts w:ascii="Arial" w:cs="Arial" w:eastAsia="Arial" w:hAnsi="Arial"/>
          <w:b/>
          <w:bCs/>
          <w:color w:val="1A1A1A"/>
          <w:sz w:val="22"/>
          <w:szCs w:val="22"/>
        </w:rPr>
        <w:t xml:space="preserve">NVIDIA Ecosystem Play (Q3–Q4 2026)</w:t>
      </w:r>
    </w:p>
    <w:p>
      <w:pPr>
        <w:spacing w:after="200" w:line="300"/>
        <w:jc w:val="both"/>
      </w:pPr>
      <w:r>
        <w:rPr>
          <w:rFonts w:ascii="Georgia" w:cs="Georgia" w:eastAsia="Georgia" w:hAnsi="Georgia"/>
          <w:color w:val="2D2D2D"/>
          <w:sz w:val="21"/>
          <w:szCs w:val="21"/>
        </w:rPr>
        <w:t xml:space="preserve">NVIDIA’s Cosmos Data Factory Blueprint relies on external providers for real-world data inputs. Calder is positioned as the default supplier. Casado’s personal involvement provides a direct channel.</w:t>
      </w:r>
    </w:p>
    <w:p>
      <w:pPr>
        <w:spacing w:after="150" w:before="200"/>
      </w:pPr>
      <w:r>
        <w:rPr>
          <w:rFonts w:ascii="Arial" w:cs="Arial" w:eastAsia="Arial" w:hAnsi="Arial"/>
          <w:b/>
          <w:bCs/>
          <w:color w:val="1A1A1A"/>
          <w:sz w:val="22"/>
          <w:szCs w:val="22"/>
        </w:rPr>
        <w:t xml:space="preserve">Enterprise &amp; Defense Expansion (2027+)</w:t>
      </w:r>
    </w:p>
    <w:p>
      <w:pPr>
        <w:spacing w:after="200" w:line="300"/>
        <w:jc w:val="both"/>
      </w:pPr>
      <w:r>
        <w:rPr>
          <w:rFonts w:ascii="Georgia" w:cs="Georgia" w:eastAsia="Georgia" w:hAnsi="Georgia"/>
          <w:color w:val="2D2D2D"/>
          <w:sz w:val="21"/>
          <w:szCs w:val="21"/>
        </w:rPr>
        <w:t xml:space="preserve">Autonomous vehicles (Waymo, Uber AV), spatial computing (Apple, Meta), and defense (autonomous maritime, $16B market). Singapore structure makes Calder export-friendly for contracts requiring non-China data provenance.</w:t>
      </w:r>
    </w:p>
    <w:p>
      <w:pPr>
        <w:spacing w:after="150" w:before="200"/>
      </w:pPr>
      <w:r>
        <w:rPr>
          <w:rFonts w:ascii="Arial" w:cs="Arial" w:eastAsia="Arial" w:hAnsi="Arial"/>
          <w:b/>
          <w:bCs/>
          <w:color w:val="1A1A1A"/>
          <w:sz w:val="22"/>
          <w:szCs w:val="22"/>
        </w:rPr>
        <w:t xml:space="preserve">Pricing</w:t>
      </w:r>
    </w:p>
    <w:p>
      <w:pPr>
        <w:spacing w:after="200" w:line="300"/>
        <w:jc w:val="both"/>
      </w:pPr>
      <w:r>
        <w:rPr>
          <w:rFonts w:ascii="Georgia" w:cs="Georgia" w:eastAsia="Georgia" w:hAnsi="Georgia"/>
          <w:color w:val="2D2D2D"/>
          <w:sz w:val="21"/>
          <w:szCs w:val="21"/>
        </w:rPr>
        <w:t xml:space="preserve">Per-task pricing for custom capture, plus annual subscriptions for pre-captured environments. Target blended gross margins of 60–70% once capture infrastructure is amortized.</w:t>
      </w:r>
    </w:p>
    <w:p>
      <w:r>
        <w:br w:type="page"/>
      </w:r>
    </w:p>
    <w:p>
      <w:pPr>
        <w:spacing w:after="200" w:before="100"/>
      </w:pPr>
      <w:r>
        <w:rPr>
          <w:rFonts w:ascii="Arial" w:cs="Arial" w:eastAsia="Arial" w:hAnsi="Arial"/>
          <w:b/>
          <w:bCs/>
          <w:color w:val="C8102E"/>
          <w:spacing w:val="80"/>
          <w:sz w:val="26"/>
          <w:szCs w:val="26"/>
        </w:rPr>
        <w:t xml:space="preserve">EXIT SCENARIOS</w:t>
      </w:r>
    </w:p>
    <w:p>
      <w:pPr>
        <w:pBdr>
          <w:bottom w:val="single" w:color="C8102E" w:sz="12" w:space="1"/>
        </w:pBdr>
        <w:spacing w:after="200" w:before="200"/>
      </w:pPr>
    </w:p>
    <w:p>
      <w:pPr>
        <w:pBdr>
          <w:left w:val="single" w:color="C8102E" w:sz="24" w:space="8"/>
        </w:pBdr>
        <w:spacing w:after="300" w:before="300" w:line="340"/>
        <w:ind w:left="600"/>
        <w:jc w:val="left"/>
      </w:pPr>
      <w:r>
        <w:rPr>
          <w:rFonts w:ascii="Georgia" w:cs="Georgia" w:eastAsia="Georgia" w:hAnsi="Georgia"/>
          <w:i/>
          <w:iCs/>
          <w:color w:val="C8102E"/>
          <w:sz w:val="24"/>
          <w:szCs w:val="24"/>
        </w:rPr>
        <w:t xml:space="preserve">“The best infrastructure companies create optionality across multiple exit paths.”</w:t>
      </w:r>
    </w:p>
    <w:p>
      <w:pPr>
        <w:spacing w:after="200" w:line="300"/>
        <w:jc w:val="both"/>
      </w:pPr>
      <w:r>
        <w:rPr>
          <w:rFonts w:ascii="Georgia" w:cs="Georgia" w:eastAsia="Georgia" w:hAnsi="Georgia"/>
          <w:color w:val="2D2D2D"/>
          <w:sz w:val="21"/>
          <w:szCs w:val="21"/>
        </w:rPr>
        <w:t xml:space="preserve">Calder’s positioning as foundational data infrastructure for Physical AI creates multiple plausible exit paths. Below are three scenarios with comparable precedents and estimated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2000"/>
        <w:gridCol w:w="1680"/>
      </w:tblGrid>
      <w:tr>
        <w:tc>
          <w:tcPr>
            <w:tcW w:type="dxa" w:w="20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Scenario</w:t>
            </w:r>
          </w:p>
        </w:tc>
        <w:tc>
          <w:tcPr>
            <w:tcW w:type="dxa" w:w="368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Rationale &amp; Precedent</w:t>
            </w:r>
          </w:p>
        </w:tc>
        <w:tc>
          <w:tcPr>
            <w:tcW w:type="dxa" w:w="20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Timeline</w:t>
            </w:r>
          </w:p>
        </w:tc>
        <w:tc>
          <w:tcPr>
            <w:tcW w:type="dxa" w:w="168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Est. Value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Strategic Acquisition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NVIDIA, Apple, or Google are the most logical acquirers. NVIDIA acquired DeepMap (founded by James Wu) for ~$150M in 2021 when it was pre-scale. Calder’s data pipeline is complementary to Cosmos. Apple’s spatial computing ambitions (Vision Pro) require precisely the kind of 4D data Calder captures. Google’s Waymo and DeepMind divisions have ongoing data infrastructure needs.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3–5 years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$2–10B</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Secondary / Growth Equity</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At the current pace of Physical AI investment ($2.3B+ in Q1 2026), Calder will attract significant growth-stage capital. Scale AI raised at $14B in 2024. If Calder demonstrates meaningful revenue traction ($50M+ ARR), a Series B or C at $5–15B is plausible, providing liquidity to early investors via secondary transactions.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2–4 years</w:t>
            </w:r>
          </w:p>
        </w:tc>
        <w:tc>
          <w:tcPr>
            <w:tcW w:type="dxa" w:w="1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$5–15B</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IPO</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If Calder achieves the data moat and revenue scale implied by its decacorn path ($1.5–3B revenue), an IPO becomes viable. Comparable: Palantir went public at ~$22B with government + enterprise data infrastructure positioning. The Physical AI training data market is still early, so this path requires sustained execution over a longer horizon.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5–7 years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$15–45B</w:t>
            </w:r>
          </w:p>
        </w:tc>
      </w:tr>
    </w:tbl>
    <w:p>
      <w:pPr>
        <w:spacing w:before="300"/>
        <w:jc w:val="both"/>
      </w:pPr>
      <w:r>
        <w:rPr>
          <w:rFonts w:ascii="Georgia" w:cs="Georgia" w:eastAsia="Georgia" w:hAnsi="Georgia"/>
          <w:color w:val="2D2D2D"/>
          <w:sz w:val="21"/>
          <w:szCs w:val="21"/>
        </w:rPr>
        <w:t xml:space="preserve">The most probable near-term exit is a strategic acquisition by NVIDIA or Apple, both of whom have existing relationships with the founding team. The secondary path provides interim liquidity. The IPO scenario represents the full upside case.</w:t>
      </w:r>
    </w:p>
    <w:p>
      <w:r>
        <w:br w:type="page"/>
      </w:r>
    </w:p>
    <w:p>
      <w:pPr>
        <w:spacing w:after="200" w:before="100"/>
      </w:pPr>
      <w:r>
        <w:rPr>
          <w:rFonts w:ascii="Arial" w:cs="Arial" w:eastAsia="Arial" w:hAnsi="Arial"/>
          <w:b/>
          <w:bCs/>
          <w:color w:val="C8102E"/>
          <w:spacing w:val="80"/>
          <w:sz w:val="26"/>
          <w:szCs w:val="26"/>
        </w:rPr>
        <w:t xml:space="preserve">RECOMMENDATION</w:t>
      </w:r>
    </w:p>
    <w:p>
      <w:pPr>
        <w:pBdr>
          <w:bottom w:val="single" w:color="C8102E" w:sz="1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8"/>
              <w:left w:val="single" w:color="C8102E" w:sz="8"/>
              <w:bottom w:val="single" w:color="C8102E" w:sz="8"/>
              <w:right w:val="single" w:color="C8102E" w:sz="8"/>
            </w:tcBorders>
            <w:tcMar>
              <w:top w:type="dxa" w:w="200"/>
              <w:left w:type="dxa" w:w="300"/>
              <w:bottom w:type="dxa" w:w="200"/>
              <w:right w:type="dxa" w:w="300"/>
            </w:tcMar>
          </w:tcPr>
          <w:p>
            <w:pPr>
              <w:jc w:val="center"/>
            </w:pPr>
            <w:r>
              <w:rPr>
                <w:rFonts w:ascii="Arial" w:cs="Arial" w:eastAsia="Arial" w:hAnsi="Arial"/>
                <w:b/>
                <w:bCs/>
                <w:color w:val="C8102E"/>
                <w:sz w:val="28"/>
                <w:szCs w:val="28"/>
              </w:rPr>
              <w:t xml:space="preserve">VERDICT: STRONG PROCEED</w:t>
            </w:r>
          </w:p>
        </w:tc>
      </w:tr>
    </w:tbl>
    <w:p>
      <w:pPr>
        <w:spacing w:before="300"/>
        <w:jc w:val="both"/>
      </w:pPr>
      <w:r>
        <w:rPr>
          <w:rFonts w:ascii="Georgia" w:cs="Georgia" w:eastAsia="Georgia" w:hAnsi="Georgia"/>
          <w:color w:val="2D2D2D"/>
          <w:sz w:val="21"/>
          <w:szCs w:val="21"/>
        </w:rPr>
        <w:t xml:space="preserve">Participate at the allocation available to us.</w:t>
      </w:r>
    </w:p>
    <w:p>
      <w:pPr>
        <w:spacing w:after="200" w:line="300"/>
        <w:jc w:val="both"/>
      </w:pPr>
      <w:r>
        <w:rPr>
          <w:rFonts w:ascii="Georgia" w:cs="Georgia" w:eastAsia="Georgia" w:hAnsi="Georgia"/>
          <w:color w:val="2D2D2D"/>
          <w:sz w:val="21"/>
          <w:szCs w:val="21"/>
        </w:rPr>
        <w:t xml:space="preserve">The investment thesis rests on four pillars: a founding team with eight exits and deep domain expertise in the exact technical stack required; a market experiencing an unprecedented capital influx ($2.3B in Q1 2026); a structural data gap that synthetic generation alone cannot close; and clean terms with a tier-1 lead investor who brought personal conviction to the deal.</w:t>
      </w:r>
    </w:p>
    <w:p>
      <w:pPr>
        <w:spacing w:after="200" w:line="300"/>
        <w:jc w:val="both"/>
      </w:pPr>
      <w:r>
        <w:rPr>
          <w:rFonts w:ascii="Georgia" w:cs="Georgia" w:eastAsia="Georgia" w:hAnsi="Georgia"/>
          <w:color w:val="2D2D2D"/>
          <w:sz w:val="21"/>
          <w:szCs w:val="21"/>
        </w:rPr>
        <w:t xml:space="preserve">The $500M pre-money valuation is aggressive for a pre-revenue company and requires conviction in the team rather than the financials. We are comfortable with this because: (a) comparable transactions support it — World Labs raised at $5B and AMI Labs at $3.5B with similar profiles; (b) the founding team has eight exits and built the exact technical stack this company requires; and (c) our $500K position sizes the bet appropriately for a high-conviction, high-uncertainty investment.</w:t>
      </w:r>
    </w:p>
    <w:p>
      <w:pPr>
        <w:spacing w:after="150" w:before="200"/>
      </w:pPr>
      <w:r>
        <w:rPr>
          <w:rFonts w:ascii="Arial" w:cs="Arial" w:eastAsia="Arial" w:hAnsi="Arial"/>
          <w:b/>
          <w:bCs/>
          <w:color w:val="1A1A1A"/>
          <w:sz w:val="22"/>
          <w:szCs w:val="22"/>
        </w:rPr>
        <w:t xml:space="preserve">Why Us</w:t>
      </w:r>
    </w:p>
    <w:p>
      <w:pPr>
        <w:spacing w:after="200" w:line="300"/>
        <w:jc w:val="both"/>
      </w:pPr>
      <w:r>
        <w:rPr>
          <w:rFonts w:ascii="Georgia" w:cs="Georgia" w:eastAsia="Georgia" w:hAnsi="Georgia"/>
          <w:color w:val="2D2D2D"/>
          <w:sz w:val="21"/>
          <w:szCs w:val="21"/>
        </w:rPr>
        <w:t xml:space="preserve">Our relationship with the founding team predates this deal and gave us access to an allocation that was not broadly marketed. Calder sits squarely within Triptyq’s thesis at the intersection of entertainment, spatial computing, and AI.</w:t>
      </w:r>
    </w:p>
    <w:p>
      <w:pPr>
        <w:pBdr>
          <w:left w:val="single" w:color="C8102E" w:sz="24" w:space="8"/>
        </w:pBdr>
        <w:spacing w:after="300" w:before="300" w:line="340"/>
        <w:ind w:left="600"/>
        <w:jc w:val="left"/>
      </w:pPr>
      <w:r>
        <w:rPr>
          <w:rFonts w:ascii="Georgia" w:cs="Georgia" w:eastAsia="Georgia" w:hAnsi="Georgia"/>
          <w:i/>
          <w:iCs/>
          <w:color w:val="C8102E"/>
          <w:sz w:val="24"/>
          <w:szCs w:val="24"/>
        </w:rPr>
        <w:t xml:space="preserve">“In the gold rush, sell shovels. In the world model rush, sell data.”</w:t>
      </w:r>
    </w:p>
    <w:p>
      <w:pPr>
        <w:pBdr>
          <w:bottom w:val="single" w:color="C8102E" w:sz="12" w:space="1"/>
        </w:pBdr>
        <w:spacing w:after="300" w:before="300"/>
      </w:pPr>
    </w:p>
    <w:p>
      <w:pPr>
        <w:spacing w:before="200"/>
        <w:jc w:val="center"/>
      </w:pPr>
      <w:r>
        <w:rPr>
          <w:rFonts w:ascii="Arial" w:cs="Arial" w:eastAsia="Arial" w:hAnsi="Arial"/>
          <w:b/>
          <w:bCs/>
          <w:color w:val="C8102E"/>
          <w:spacing w:val="80"/>
          <w:sz w:val="16"/>
          <w:szCs w:val="16"/>
        </w:rPr>
        <w:t xml:space="preserve">E N D   O F   M E M O</w:t>
      </w:r>
    </w:p>
    <w:p>
      <w:pPr>
        <w:spacing w:before="100"/>
        <w:jc w:val="center"/>
      </w:pPr>
      <w:r>
        <w:rPr>
          <w:rFonts w:ascii="Georgia" w:cs="Georgia" w:eastAsia="Georgia" w:hAnsi="Georgia"/>
          <w:i/>
          <w:iCs/>
          <w:color w:val="999999"/>
          <w:sz w:val="16"/>
          <w:szCs w:val="16"/>
        </w:rPr>
        <w:t xml:space="preserve">Triptyq Capital — For Internal Use Only</w:t>
      </w:r>
    </w:p>
    <w:p>
      <w:r>
        <w:br w:type="page"/>
      </w:r>
    </w:p>
    <w:p>
      <w:pPr>
        <w:spacing w:after="200" w:before="100"/>
      </w:pPr>
      <w:r>
        <w:rPr>
          <w:rFonts w:ascii="Arial" w:cs="Arial" w:eastAsia="Arial" w:hAnsi="Arial"/>
          <w:b/>
          <w:bCs/>
          <w:color w:val="C8102E"/>
          <w:spacing w:val="80"/>
          <w:sz w:val="26"/>
          <w:szCs w:val="26"/>
        </w:rPr>
        <w:t xml:space="preserve">EXTERNAL VALIDATION</w:t>
      </w:r>
    </w:p>
    <w:p>
      <w:pPr>
        <w:pBdr>
          <w:bottom w:val="single" w:color="C8102E" w:sz="12" w:space="1"/>
        </w:pBdr>
        <w:spacing w:after="200" w:before="200"/>
      </w:pPr>
    </w:p>
    <w:p>
      <w:pPr>
        <w:pBdr>
          <w:left w:val="single" w:color="C8102E" w:sz="24" w:space="8"/>
        </w:pBdr>
        <w:spacing w:after="300" w:before="300" w:line="340"/>
        <w:ind w:left="600"/>
        <w:jc w:val="left"/>
      </w:pPr>
      <w:r>
        <w:rPr>
          <w:rFonts w:ascii="Georgia" w:cs="Georgia" w:eastAsia="Georgia" w:hAnsi="Georgia"/>
          <w:i/>
          <w:iCs/>
          <w:color w:val="C8102E"/>
          <w:sz w:val="24"/>
          <w:szCs w:val="24"/>
        </w:rPr>
        <w:t xml:space="preserve">“PitchBook published their 2026 AI Outlook four months before this memo. Two independent analyses reached the same conclusion.”</w:t>
      </w:r>
    </w:p>
    <w:p>
      <w:pPr>
        <w:spacing w:after="200" w:line="300"/>
        <w:jc w:val="both"/>
      </w:pPr>
      <w:r>
        <w:rPr>
          <w:rFonts w:ascii="Georgia" w:cs="Georgia" w:eastAsia="Georgia" w:hAnsi="Georgia"/>
          <w:color w:val="2D2D2D"/>
          <w:sz w:val="21"/>
          <w:szCs w:val="21"/>
        </w:rPr>
        <w:t xml:space="preserve">PitchBook published its 2026 Artificial Intelligence Outlook in December 2025 — four months before this memo was written. Our thesis was built independently from the deal, the team, and the market. When we ran the PitchBook analysis afterward, it converged on the same three calls. That independent convergence is worth documenting.</w:t>
      </w:r>
    </w:p>
    <w:p>
      <w:pPr>
        <w:spacing w:after="150" w:before="200"/>
      </w:pPr>
      <w:r>
        <w:rPr>
          <w:rFonts w:ascii="Arial" w:cs="Arial" w:eastAsia="Arial" w:hAnsi="Arial"/>
          <w:b/>
          <w:bCs/>
          <w:color w:val="1A1A1A"/>
          <w:sz w:val="22"/>
          <w:szCs w:val="22"/>
        </w:rPr>
        <w:t xml:space="preserve">1. World Models in Gaming: PitchBook’s #1 Consumer Tech Pick</w:t>
      </w:r>
    </w:p>
    <w:p>
      <w:pPr>
        <w:spacing w:after="200" w:line="300"/>
        <w:jc w:val="both"/>
      </w:pPr>
      <w:r>
        <w:rPr>
          <w:rFonts w:ascii="Georgia" w:cs="Georgia" w:eastAsia="Georgia" w:hAnsi="Georgia"/>
          <w:color w:val="2D2D2D"/>
          <w:sz w:val="21"/>
          <w:szCs w:val="21"/>
        </w:rPr>
        <w:t xml:space="preserve">PitchBook identified </w:t>
      </w:r>
      <w:hyperlink w:history="1" r:id="rIds9cgickfkaoqw9wf_bghm">
        <w:r>
          <w:rPr>
            <w:rFonts w:ascii="Georgia" w:cs="Georgia" w:eastAsia="Georgia" w:hAnsi="Georgia"/>
            <w:color w:val="0563C1"/>
            <w:sz w:val="21"/>
            <w:szCs w:val="21"/>
            <w:u w:val="single"/>
          </w:rPr>
          <w:t xml:space="preserve">world models</w:t>
        </w:r>
      </w:hyperlink>
      <w:r>
        <w:rPr>
          <w:rFonts w:ascii="Georgia" w:cs="Georgia" w:eastAsia="Georgia" w:hAnsi="Georgia"/>
          <w:color w:val="2D2D2D"/>
          <w:sz w:val="21"/>
          <w:szCs w:val="21"/>
        </w:rPr>
        <w:t xml:space="preserve"> as the top consumer tech AI subsector for outsized venture returns, with a current TAM of $190B growing to $267B. Calder’s infrastructure serves this downstream market directly.</w:t>
      </w:r>
    </w:p>
    <w:p>
      <w:pPr>
        <w:spacing w:after="150" w:before="200"/>
      </w:pPr>
      <w:r>
        <w:rPr>
          <w:rFonts w:ascii="Arial" w:cs="Arial" w:eastAsia="Arial" w:hAnsi="Arial"/>
          <w:b/>
          <w:bCs/>
          <w:color w:val="1A1A1A"/>
          <w:sz w:val="22"/>
          <w:szCs w:val="22"/>
        </w:rPr>
        <w:t xml:space="preserve">2. Data Management Software: PitchBook’s “Picks and Shovels” Call</w:t>
      </w:r>
    </w:p>
    <w:p>
      <w:pPr>
        <w:spacing w:after="200" w:line="300"/>
        <w:jc w:val="both"/>
      </w:pPr>
      <w:r>
        <w:rPr>
          <w:rFonts w:ascii="Georgia" w:cs="Georgia" w:eastAsia="Georgia" w:hAnsi="Georgia"/>
          <w:color w:val="2D2D2D"/>
          <w:sz w:val="21"/>
          <w:szCs w:val="21"/>
        </w:rPr>
        <w:t xml:space="preserve">PitchBook calls AI-specific data quality, governance, and vector data management a critical infrastructure play. TAM: $69B today, growing to $155B at 18% annually. Calder’s Source-Structure-Enrich-Deliver pipeline is precisely this infrastructure layer for Physical AI.</w:t>
      </w:r>
    </w:p>
    <w:p>
      <w:pPr>
        <w:spacing w:after="150" w:before="200"/>
      </w:pPr>
      <w:r>
        <w:rPr>
          <w:rFonts w:ascii="Arial" w:cs="Arial" w:eastAsia="Arial" w:hAnsi="Arial"/>
          <w:b/>
          <w:bCs/>
          <w:color w:val="1A1A1A"/>
          <w:sz w:val="22"/>
          <w:szCs w:val="22"/>
        </w:rPr>
        <w:t xml:space="preserve">3. PitchBook’s 8 AI Winner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PitchBook AI Winner Trait</w:t>
            </w:r>
          </w:p>
        </w:tc>
        <w:tc>
          <w:tcPr>
            <w:tcW w:type="dxa" w:w="436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How Calder Delivers It</w:t>
            </w:r>
          </w:p>
        </w:tc>
        <w:tc>
          <w:tcPr>
            <w:tcW w:type="dxa" w:w="2000"/>
            <w:tcBorders>
              <w:top w:val="single" w:color="DDDDDD" w:sz="1"/>
              <w:left w:val="single" w:color="DDDDDD" w:sz="1"/>
              <w:bottom w:val="single" w:color="DDDDDD" w:sz="1"/>
              <w:right w:val="single" w:color="DDDDDD" w:sz="1"/>
            </w:tcBorders>
            <w:shd w:fill="C8102E" w:val="clear"/>
            <w:tcMar>
              <w:top w:type="dxa" w:w="80"/>
              <w:left w:type="dxa" w:w="140"/>
              <w:bottom w:type="dxa" w:w="80"/>
              <w:right w:type="dxa" w:w="140"/>
            </w:tcMar>
          </w:tcPr>
          <w:p>
            <w:r>
              <w:rPr>
                <w:rFonts w:ascii="Arial" w:cs="Arial" w:eastAsia="Arial" w:hAnsi="Arial"/>
                <w:b/>
                <w:bCs/>
                <w:color w:val="FFFFFF"/>
                <w:sz w:val="18"/>
                <w:szCs w:val="18"/>
              </w:rPr>
              <w:t xml:space="preserve">Verdict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Unique data moats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4D multimodal capture (LiDAR, depth, IMU, RGB) at global scale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 Core moat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Network effects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Every world model co. is a customer — data compounds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 Compounds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Deep domain + long build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4 founders, 8 exits, decade of SLAM/geospatial expertise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 10yr moat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Large, poorly understood market</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Physical AI training data — nascent, greenfield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 Greenfield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Land-and-expand system of record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Source → Structure → Enrich → Deliver pipeline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Georgia" w:cs="Georgia" w:eastAsia="Georgia" w:hAnsi="Georgia"/>
                <w:color w:val="2D2D2D"/>
                <w:sz w:val="18"/>
                <w:szCs w:val="18"/>
              </w:rPr>
              <w:t xml:space="preserve">✓ Sticky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Exceptional design</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Denis: former Apple Maps 3D lead — product DNA</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Georgia" w:cs="Georgia" w:eastAsia="Georgia" w:hAnsi="Georgia"/>
                <w:color w:val="2D2D2D"/>
                <w:sz w:val="18"/>
                <w:szCs w:val="18"/>
              </w:rPr>
              <w:t xml:space="preserve">✓ Pedigree</w:t>
            </w:r>
          </w:p>
        </w:tc>
      </w:tr>
    </w:tbl>
    <w:p>
      <w:pPr>
        <w:spacing w:after="200" w:before="80"/>
        <w:jc w:val="left"/>
      </w:pPr>
      <w:r>
        <w:rPr>
          <w:rFonts w:ascii="Georgia" w:cs="Georgia" w:eastAsia="Georgia" w:hAnsi="Georgia"/>
          <w:i/>
          <w:iCs/>
          <w:color w:val="999999"/>
          <w:sz w:val="16"/>
          <w:szCs w:val="16"/>
        </w:rPr>
        <w:t xml:space="preserve">Source: PitchBook 2026 Artificial Intelligence Outlook, December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8102E"/>
        <w:sz w:val="16"/>
        <w:szCs w:val="16"/>
      </w:rPr>
      <w:t xml:space="preserve">—  </w:t>
    </w:r>
    <w:r>
      <w:rPr>
        <w:rFonts w:ascii="Arial" w:cs="Arial" w:eastAsia="Arial" w:hAnsi="Arial"/>
        <w:color w:val="C8102E"/>
        <w:sz w:val="16"/>
        <w:szCs w:val="16"/>
      </w:rPr>
      <w:fldChar w:fldCharType="begin"/>
      <w:instrText xml:space="preserve">PAGE</w:instrText>
      <w:fldChar w:fldCharType="separate"/>
      <w:fldChar w:fldCharType="end"/>
    </w:r>
    <w:r>
      <w:rPr>
        <w:rFonts w:ascii="Arial" w:cs="Arial" w:eastAsia="Arial" w:hAnsi="Arial"/>
        <w:color w:val="C8102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6" w:space="4"/>
      </w:pBdr>
      <w:spacing w:after="100"/>
    </w:pPr>
    <w:r>
      <w:rPr>
        <w:rFonts w:ascii="Arial" w:cs="Arial" w:eastAsia="Arial" w:hAnsi="Arial"/>
        <w:b/>
        <w:bCs/>
        <w:color w:val="C8102E"/>
        <w:spacing w:val="60"/>
        <w:sz w:val="14"/>
        <w:szCs w:val="14"/>
      </w:rPr>
      <w:t xml:space="preserve">TRIPTYQ CAPITAL</w:t>
    </w:r>
    <w:r>
      <w:rPr>
        <w:rFonts w:ascii="Arial" w:cs="Arial" w:eastAsia="Arial" w:hAnsi="Arial"/>
        <w:color w:val="999999"/>
        <w:sz w:val="14"/>
        <w:szCs w:val="14"/>
      </w:rPr>
      <w:t xml:space="preserve">  —  Calder Pte. Ltd.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caf9hwj1wwjlpoii4k7f" Type="http://schemas.openxmlformats.org/officeDocument/2006/relationships/hyperlink" Target="https://www.nvidia.com/en-us/glossary/world-models/" TargetMode="External"/><Relationship Id="rIdfoka8lriizocwowyl5yi-" Type="http://schemas.openxmlformats.org/officeDocument/2006/relationships/hyperlink" Target="https://www.nvidia.com/en-us/glossary/world-models/" TargetMode="External"/><Relationship Id="rIdt6908xlhtuubd297ywpgn" Type="http://schemas.openxmlformats.org/officeDocument/2006/relationships/hyperlink" Target="https://blogs.nvidia.com/blog/cosmos-world-foundation-models/" TargetMode="External"/><Relationship Id="rIdgayp0nzlx78xranyszn88" Type="http://schemas.openxmlformats.org/officeDocument/2006/relationships/hyperlink" Target="https://www.scientificamerican.com/article/world-models-could-unlock-the-next-revolution-in-artificial-intelligence/" TargetMode="External"/><Relationship Id="rIdkicq4d6tokgais4glnne7" Type="http://schemas.openxmlformats.org/officeDocument/2006/relationships/hyperlink" Target="https://en.wikipedia.org/wiki/Lidar" TargetMode="External"/><Relationship Id="rIdwcjnxdwbjjr9fm55f2v6h" Type="http://schemas.openxmlformats.org/officeDocument/2006/relationships/hyperlink" Target="https://en.wikipedia.org/wiki/Simultaneous_localization_and_mapping" TargetMode="External"/><Relationship Id="rIdxwvfpuspmdujgmzptf5ju" Type="http://schemas.openxmlformats.org/officeDocument/2006/relationships/hyperlink" Target="https://docs.ros.org/en/rolling/index.html" TargetMode="External"/><Relationship Id="rIdzui0f80nmge_dd5ryk7cb" Type="http://schemas.openxmlformats.org/officeDocument/2006/relationships/hyperlink" Target="https://github.com/isl-org/Open3D" TargetMode="External"/><Relationship Id="rIdz3wrtasq7ivw35whdz_cn" Type="http://schemas.openxmlformats.org/officeDocument/2006/relationships/hyperlink" Target="https://en.wikipedia.org/wiki/Simultaneous_localization_and_mapping" TargetMode="External"/><Relationship Id="rId1llhbf2avic6zkx2bbufg" Type="http://schemas.openxmlformats.org/officeDocument/2006/relationships/hyperlink" Target="https://pytorch.org/" TargetMode="External"/><Relationship Id="rIdp9hpca59hr6lyxp1paupq" Type="http://schemas.openxmlformats.org/officeDocument/2006/relationships/hyperlink" Target="https://en.wikipedia.org/wiki/Lidar" TargetMode="External"/><Relationship Id="rIdesdvgftpecribgqx_pfz4" Type="http://schemas.openxmlformats.org/officeDocument/2006/relationships/hyperlink" Target="https://www.nvidia.com/en-us/ai/cosmos/" TargetMode="External"/><Relationship Id="rIduc8jck-6y7d-oe62ytj3n" Type="http://schemas.openxmlformats.org/officeDocument/2006/relationships/hyperlink" Target="https://huggingface.co/" TargetMode="External"/><Relationship Id="rIddsk277za5rmjkvzqhsblu" Type="http://schemas.openxmlformats.org/officeDocument/2006/relationships/hyperlink" Target="https://en.wikipedia.org/wiki/ImageNet" TargetMode="External"/><Relationship Id="rIdgsl8xrund9d0hdjqca6kl" Type="http://schemas.openxmlformats.org/officeDocument/2006/relationships/hyperlink" Target="https://www.nvidia.com/en-us/ai/cosmos/" TargetMode="External"/><Relationship Id="rIdbxzswgcojbzdkuqwvtxdq" Type="http://schemas.openxmlformats.org/officeDocument/2006/relationships/hyperlink" Target="https://www.worldlabs.ai/" TargetMode="External"/><Relationship Id="rIdhbhox9zgy8zmdgeuqhtbs" Type="http://schemas.openxmlformats.org/officeDocument/2006/relationships/hyperlink" Target="https://www.scientificamerican.com/article/world-models-could-unlock-the-next-revolution-in-artificial-intelligence/" TargetMode="External"/><Relationship Id="rIduqx46vqdfjfymngza9wso" Type="http://schemas.openxmlformats.org/officeDocument/2006/relationships/hyperlink" Target="https://en.wikipedia.org/wiki/Lidar" TargetMode="External"/><Relationship Id="rIdchjbqeb6jdywx4pm7610c" Type="http://schemas.openxmlformats.org/officeDocument/2006/relationships/hyperlink" Target="https://en.wikipedia.org/wiki/Simultaneous_localization_and_mapping" TargetMode="External"/><Relationship Id="rIds9cgickfkaoqw9wf_bghm" Type="http://schemas.openxmlformats.org/officeDocument/2006/relationships/hyperlink" Target="https://www.nvidia.com/en-us/glossary/world-models/"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2026-04-10T19:19:58.162Z</dcterms:created>
  <dcterms:modified xsi:type="dcterms:W3CDTF">2026-04-10T19:19:58.164Z</dcterms:modified>
</cp:coreProperties>
</file>

<file path=docProps/custom.xml><?xml version="1.0" encoding="utf-8"?>
<Properties xmlns="http://schemas.openxmlformats.org/officeDocument/2006/custom-properties" xmlns:vt="http://schemas.openxmlformats.org/officeDocument/2006/docPropsVTypes"/>
</file>