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PROJECT REVISION LIST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Legend: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84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</w:trPr>
        <w:tc>
          <w:tcPr>
            <w:tcW w:w="1284" w:type="dxa"/>
            <w:shd w:val="clear" w:color="auto" w:fill="A8D08D" w:themeFill="accent6" w:themeFillTint="99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4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8" w:hRule="atLeast"/>
        </w:trPr>
        <w:tc>
          <w:tcPr>
            <w:tcW w:w="1284" w:type="dxa"/>
            <w:shd w:val="clear" w:color="auto" w:fill="FFD965" w:themeFill="accent4" w:themeFillTint="99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4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Need rework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284" w:type="dxa"/>
            <w:shd w:val="clear" w:color="auto" w:fill="FF5555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4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yet done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tbl>
      <w:tblPr>
        <w:tblStyle w:val="4"/>
        <w:tblW w:w="10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196"/>
        <w:gridCol w:w="3020"/>
        <w:gridCol w:w="859"/>
        <w:gridCol w:w="859"/>
        <w:gridCol w:w="859"/>
        <w:gridCol w:w="859"/>
        <w:gridCol w:w="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790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96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RECOMMENDATION/</w:t>
            </w:r>
          </w:p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3020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Taken by the Team Member/s</w:t>
            </w:r>
          </w:p>
        </w:tc>
        <w:tc>
          <w:tcPr>
            <w:tcW w:w="4300" w:type="dxa"/>
            <w:gridSpan w:val="5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by Panel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vMerge w:val="continue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0" w:type="dxa"/>
            <w:vMerge w:val="continue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PM1</w:t>
            </w:r>
          </w:p>
        </w:tc>
        <w:tc>
          <w:tcPr>
            <w:tcW w:w="859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PM2</w:t>
            </w:r>
          </w:p>
        </w:tc>
        <w:tc>
          <w:tcPr>
            <w:tcW w:w="859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PM3</w:t>
            </w:r>
          </w:p>
        </w:tc>
        <w:tc>
          <w:tcPr>
            <w:tcW w:w="859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PM4</w:t>
            </w:r>
          </w:p>
        </w:tc>
        <w:tc>
          <w:tcPr>
            <w:tcW w:w="863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92D050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</w:t>
            </w:r>
          </w:p>
        </w:tc>
        <w:tc>
          <w:tcPr>
            <w:tcW w:w="2196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Combined Login Page for Admin &amp; Adviser</w:t>
            </w:r>
          </w:p>
        </w:tc>
        <w:tc>
          <w:tcPr>
            <w:tcW w:w="3020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Created a separate login page for Advisers</w:t>
            </w: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  <w:highlight w:val="none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  <w:highlight w:val="none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  <w:highlight w:val="none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  <w:highlight w:val="none"/>
              </w:rPr>
            </w:pPr>
          </w:p>
        </w:tc>
        <w:tc>
          <w:tcPr>
            <w:tcW w:w="863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92D050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</w:t>
            </w:r>
          </w:p>
        </w:tc>
        <w:tc>
          <w:tcPr>
            <w:tcW w:w="3020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Project page where students can create and view their project.</w:t>
            </w: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92D050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 Limitation</w:t>
            </w:r>
          </w:p>
        </w:tc>
        <w:tc>
          <w:tcPr>
            <w:tcW w:w="3020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Modified the ‘Add Project’ button to disable after the student create their project </w:t>
            </w: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92D050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can be assigned to students.</w:t>
            </w:r>
          </w:p>
        </w:tc>
        <w:tc>
          <w:tcPr>
            <w:tcW w:w="3020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Task assignment feature for Admin/Dean</w:t>
            </w: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92D050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should be organized by prerequisites</w:t>
            </w:r>
          </w:p>
        </w:tc>
        <w:tc>
          <w:tcPr>
            <w:tcW w:w="3020" w:type="dxa"/>
            <w:shd w:val="clear" w:color="auto" w:fill="92D050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are organized in accordion-style per prerequisites</w:t>
            </w: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92D050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D965" w:themeFill="accent4" w:themeFillTint="99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96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of Project Advisers</w:t>
            </w:r>
          </w:p>
        </w:tc>
        <w:tc>
          <w:tcPr>
            <w:tcW w:w="3020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List of Advisers students can choose from</w:t>
            </w: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90" w:type="dxa"/>
            <w:shd w:val="clear" w:color="auto" w:fill="FF5555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6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application to Adviser</w:t>
            </w:r>
          </w:p>
        </w:tc>
        <w:tc>
          <w:tcPr>
            <w:tcW w:w="3020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are notified whenever students choose their advisory;</w:t>
            </w:r>
          </w:p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can either Accept or Dismiss this application.</w:t>
            </w: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5555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6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team/slots counter</w:t>
            </w:r>
          </w:p>
        </w:tc>
        <w:tc>
          <w:tcPr>
            <w:tcW w:w="3020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team/slots counter for number of advisees per advisers</w:t>
            </w: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5555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96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team </w:t>
            </w:r>
          </w:p>
        </w:tc>
        <w:tc>
          <w:tcPr>
            <w:tcW w:w="3020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Team Name label for each student’s team</w:t>
            </w: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5555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task submitted by the students</w:t>
            </w:r>
          </w:p>
        </w:tc>
        <w:tc>
          <w:tcPr>
            <w:tcW w:w="3020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Admin to view student’s submission</w:t>
            </w: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5555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96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can see the task submitted by their advisee</w:t>
            </w:r>
          </w:p>
        </w:tc>
        <w:tc>
          <w:tcPr>
            <w:tcW w:w="3020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Advisers to view their advisee’s submission</w:t>
            </w: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5555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96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tasks (ex: Reviewed etc.)</w:t>
            </w:r>
          </w:p>
        </w:tc>
        <w:tc>
          <w:tcPr>
            <w:tcW w:w="3020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Status feature where Advisers can ‘Review’ and ‘Approve’ advisee’s submissions;</w:t>
            </w:r>
          </w:p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also see the status of the tasks if it was ‘reviewed’ by the Adviser</w:t>
            </w: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A8D08D" w:themeFill="accent6" w:themeFillTint="99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Page for Advisers</w:t>
            </w:r>
          </w:p>
        </w:tc>
        <w:tc>
          <w:tcPr>
            <w:tcW w:w="3020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a ‘Project Page’ for Advisers to view the projects of their advisees </w:t>
            </w: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A8D08D" w:themeFill="accent6" w:themeFillTint="99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Advisers </w:t>
            </w:r>
          </w:p>
        </w:tc>
        <w:tc>
          <w:tcPr>
            <w:tcW w:w="3020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add/delete Advisers</w:t>
            </w: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D965" w:themeFill="accent4" w:themeFillTint="99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Slots available per Project Adviser</w:t>
            </w:r>
          </w:p>
        </w:tc>
        <w:tc>
          <w:tcPr>
            <w:tcW w:w="3020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counter per Adviser that will show the available slots of advisees still available</w:t>
            </w: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FF5555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Adviser’s List of Advisees</w:t>
            </w:r>
          </w:p>
        </w:tc>
        <w:tc>
          <w:tcPr>
            <w:tcW w:w="3020" w:type="dxa"/>
            <w:shd w:val="clear" w:color="auto" w:fill="FF5555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students under each Project Adviser</w:t>
            </w: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FF5555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0" w:type="dxa"/>
            <w:shd w:val="clear" w:color="auto" w:fill="A8D08D" w:themeFill="accent6" w:themeFillTint="99"/>
            <w:vAlign w:val="center"/>
          </w:tcPr>
          <w:p>
            <w:pPr>
              <w:pStyle w:val="5"/>
              <w:widowControl w:val="0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of files is not working (including Profile Photo, Project Logo and Attachments of Tasks)</w:t>
            </w:r>
          </w:p>
        </w:tc>
        <w:tc>
          <w:tcPr>
            <w:tcW w:w="3020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Debugged and fix this issue</w:t>
            </w: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63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E747E"/>
    <w:multiLevelType w:val="multilevel"/>
    <w:tmpl w:val="4D4E74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70D1D"/>
    <w:rsid w:val="000349C0"/>
    <w:rsid w:val="00245287"/>
    <w:rsid w:val="002B1A91"/>
    <w:rsid w:val="004B7D1B"/>
    <w:rsid w:val="00D47DC6"/>
    <w:rsid w:val="00EA618F"/>
    <w:rsid w:val="12270D1D"/>
    <w:rsid w:val="44000C2E"/>
    <w:rsid w:val="6BCE45D4"/>
    <w:rsid w:val="7029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378</Words>
  <Characters>2081</Characters>
  <Lines>17</Lines>
  <Paragraphs>4</Paragraphs>
  <TotalTime>47</TotalTime>
  <ScaleCrop>false</ScaleCrop>
  <LinksUpToDate>false</LinksUpToDate>
  <CharactersWithSpaces>2455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2023-06-09T05:10:00Z</dcterms:created>
  <dc:creator>Royce Dionisio Ogot</dc:creator>
  <cp:lastModifiedBy>Royce Dionisio Ogot</cp:lastModifiedBy>
  <dcterms:modified xsi:type="dcterms:W3CDTF">2023-06-13T11:52:46Z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5DF90AE08E354425A00ABF739D6D2176</vt:lpwstr>
  </property>
</Properties>
</file>