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jihxri"/>
        <w:keepNext w:val="1"/>
        <w:keepLines w:val="1"/>
        <w:rPr>
          <w:kern w:val="44"/>
          <w:sz w:val="44"/>
          <w:szCs w:val="44"/>
        </w:rPr>
      </w:pPr>
      <w:r>
        <w:rPr>
          <w:rFonts w:hint="eastAsia"/>
        </w:rPr>
        <w:t>《移动应用开发（AI 赋能版）》实验报告评分标准</w:t>
      </w:r>
    </w:p>
    <w:p>
      <w:r>
        <w:rPr>
          <w:rFonts w:hint="eastAsia"/>
        </w:rPr>
        <w:t>（AI 赋能版）</w:t>
      </w:r>
    </w:p>
    <w:p>
      <w:r>
        <w:rPr>
          <w:rFonts w:hint="eastAsia"/>
        </w:rPr>
        <w:t>课程代码：1960079　|　2026—2027 学年第一学期（24 级）　|　华信软件 软件工程专业（第五学期）</w:t>
      </w:r>
    </w:p>
    <w:p>
      <w:pPr>
        <w:pStyle w:val="8kakgo"/>
        <w:keepNext w:val="1"/>
        <w:keepLines w:val="1"/>
        <w:rPr>
          <w:sz w:val="32"/>
          <w:szCs w:val="32"/>
        </w:rPr>
      </w:pPr>
      <w:r>
        <w:rPr>
          <w:rFonts w:hint="eastAsia"/>
        </w:rPr>
        <w:t>一、评分目的与适用范围</w:t>
      </w:r>
    </w:p>
    <w:p>
      <w:r>
        <w:rPr>
          <w:rFonts w:hint="eastAsia"/>
        </w:rPr>
        <w:t>为规范《移动应用开发（AI 赋能版）》课程实验报告评定工作，依据《课程实验指导书（AI 赋能版）》的实验总则、报告要求、附录二报告模板及实验一 / 实验二的具体要求，特制定本评分标准。本标准适用于本课程全部实验报告（实验一、实验二）的评定，是教师批改实验报告、评定实验实训成绩中"实验报告"部分的统一依据。</w:t>
      </w:r>
    </w:p>
    <w:p>
      <w:pPr>
        <w:pStyle w:val="8kakgo"/>
        <w:keepNext w:val="1"/>
        <w:keepLines w:val="1"/>
        <w:rPr>
          <w:sz w:val="32"/>
          <w:szCs w:val="32"/>
        </w:rPr>
      </w:pPr>
      <w:r>
        <w:rPr>
          <w:rFonts w:hint="eastAsia"/>
        </w:rPr>
        <w:t>二、成绩构成与折算办法</w:t>
      </w:r>
    </w:p>
    <w:p>
      <w:r>
        <w:rPr>
          <w:rFonts w:hint="eastAsia"/>
        </w:rPr>
        <w:t>按实验指导书"第六、实验成绩评定"：实验成绩由</w:t>
      </w:r>
      <w:r>
        <w:rPr>
          <w:rFonts w:hint="eastAsia"/>
          <w:b w:val="1"/>
        </w:rPr>
        <w:t>实验报告（50%）+ 实验代码（50%）</w:t>
      </w:r>
      <w:r>
        <w:rPr>
          <w:rFonts w:hint="eastAsia"/>
        </w:rPr>
        <w:t>构成，总分 100 分。其中实验报告按本标准第四部分以</w:t>
      </w:r>
      <w:r>
        <w:rPr>
          <w:rFonts w:hint="eastAsia"/>
          <w:b w:val="1"/>
        </w:rPr>
        <w:t>百分制</w:t>
      </w:r>
      <w:r>
        <w:rPr>
          <w:rFonts w:hint="eastAsia"/>
        </w:rPr>
        <w:t>评定（满分 100 分）。</w:t>
      </w:r>
    </w:p>
    <w:p>
      <w:r>
        <w:rPr>
          <w:rFonts w:hint="eastAsia"/>
        </w:rPr>
        <w:t>折算公式：实验报告总评（满分 50）=（S₁ × 24/32 + S₂ × 8/32）÷ 100 × 50。其中 S₁、S₂ 分别为实验一、实验二的百分制报告得分（0–100），按实验学时（实验一 24 / 实验二 8，合计 32）加权。实验成绩 = 实验报告总评（50）+ 实验代码（50），满分 100 分，计入课程总评。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实验项目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学时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学时权重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报告百分制满分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1661" w:type="dxa"/>
          </w:tcPr>
          <w:p>
            <w:r>
              <w:rPr>
                <w:rFonts w:hint="eastAsia"/>
              </w:rPr>
              <w:t>实验一：AI 赋能 Android 原生开发综合实验</w:t>
            </w:r>
          </w:p>
        </w:tc>
        <w:tc>
          <w:tcPr>
            <w:tcW w:w="1661" w:type="dxa"/>
          </w:tcPr>
          <w:p>
            <w:r>
              <w:t>24</w:t>
            </w:r>
          </w:p>
        </w:tc>
        <w:tc>
          <w:tcPr>
            <w:tcW w:w="1661" w:type="dxa"/>
          </w:tcPr>
          <w:p>
            <w:r>
              <w:t>24/32</w:t>
            </w:r>
          </w:p>
        </w:tc>
        <w:tc>
          <w:tcPr>
            <w:tcW w:w="1661" w:type="dxa"/>
          </w:tcPr>
          <w:p>
            <w:r>
              <w:t>100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设计性 + 综合性（个人独立完成）</w:t>
            </w:r>
          </w:p>
        </w:tc>
      </w:tr>
      <w:tr>
        <w:trPr/>
        <w:tc>
          <w:tcPr>
            <w:tcW w:w="1661" w:type="dxa"/>
          </w:tcPr>
          <w:p>
            <w:r>
              <w:rPr>
                <w:rFonts w:hint="eastAsia"/>
              </w:rPr>
              <w:t>实验二：AI 赋能 UniApp 跨端开发综合实验</w:t>
            </w:r>
          </w:p>
        </w:tc>
        <w:tc>
          <w:tcPr>
            <w:tcW w:w="1661" w:type="dxa"/>
          </w:tcPr>
          <w:p>
            <w:r>
              <w:t>8</w:t>
            </w:r>
          </w:p>
        </w:tc>
        <w:tc>
          <w:tcPr>
            <w:tcW w:w="1661" w:type="dxa"/>
          </w:tcPr>
          <w:p>
            <w:r>
              <w:t>8/32</w:t>
            </w:r>
          </w:p>
        </w:tc>
        <w:tc>
          <w:tcPr>
            <w:tcW w:w="1661" w:type="dxa"/>
          </w:tcPr>
          <w:p>
            <w:r>
              <w:t>100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设计性 + 综合性（任务 5 可 3~5 人分组）</w:t>
            </w:r>
          </w:p>
        </w:tc>
      </w:tr>
    </w:tbl>
    <w:p>
      <w:pPr>
        <w:pStyle w:val="8kakgo"/>
        <w:keepNext w:val="1"/>
        <w:keepLines w:val="1"/>
        <w:rPr>
          <w:sz w:val="32"/>
          <w:szCs w:val="32"/>
        </w:rPr>
      </w:pPr>
      <w:r>
        <w:rPr>
          <w:rFonts w:hint="eastAsia"/>
        </w:rPr>
        <w:t>三、实验报告内容规范性要求</w:t>
      </w:r>
    </w:p>
    <w:p>
      <w:r>
        <w:rPr>
          <w:rFonts w:hint="eastAsia"/>
        </w:rPr>
        <w:t>每个实验（实验一按任务分阶段提交，实验二整体提交）结束后一周内提交实验报告（电子版，Word 或 PDF 格式）。报告须包含以下六个部分（依据实验指导书"第五、实验报告要求"与附录二模板）：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组成部分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具体要求</w:t>
            </w:r>
          </w:p>
        </w:tc>
      </w:tr>
      <w:tr>
        <w:trPr/>
        <w:tc>
          <w:tcPr>
            <w:tcW w:w="2768" w:type="dxa"/>
          </w:tcPr>
          <w:p>
            <w:r>
              <w:t>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基础信息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实验项目、实验时间、实验地点、姓名、班级、学号（模板页眉）</w:t>
            </w:r>
          </w:p>
        </w:tc>
      </w:tr>
      <w:tr>
        <w:trPr/>
        <w:tc>
          <w:tcPr>
            <w:tcW w:w="2768" w:type="dxa"/>
          </w:tcPr>
          <w:p>
            <w:r>
              <w:t>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实验目的与任务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清晰、准确阐述本次实验的核心目的与具体任务</w:t>
            </w:r>
          </w:p>
        </w:tc>
      </w:tr>
      <w:tr>
        <w:trPr/>
        <w:tc>
          <w:tcPr>
            <w:tcW w:w="2768" w:type="dxa"/>
          </w:tcPr>
          <w:p>
            <w:r>
              <w:t>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实验过程描述及重点代码功能注释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完整记录操作流程与核心步骤，重点代码配规范注释，关键逻辑能讲解</w:t>
            </w:r>
          </w:p>
        </w:tc>
      </w:tr>
      <w:tr>
        <w:trPr/>
        <w:tc>
          <w:tcPr>
            <w:tcW w:w="2768" w:type="dxa"/>
          </w:tcPr>
          <w:p>
            <w:r>
              <w:t>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实验错误描述及改正方式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如实记录报错现象、排查思路、解决方法与整改结果</w:t>
            </w:r>
          </w:p>
        </w:tc>
      </w:tr>
      <w:tr>
        <w:trPr/>
        <w:tc>
          <w:tcPr>
            <w:tcW w:w="2768" w:type="dxa"/>
          </w:tcPr>
          <w:p>
            <w:r>
              <w:t>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实验总结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总结知识点收获、实操收获、不足与改进方向，思考题解答到位</w:t>
            </w:r>
          </w:p>
        </w:tc>
      </w:tr>
      <w:tr>
        <w:trPr/>
        <w:tc>
          <w:tcPr>
            <w:tcW w:w="2768" w:type="dxa"/>
          </w:tcPr>
          <w:p>
            <w:r>
              <w:t>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AI 使用记录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记录 AI 工具使用场景、提示词要点、AI 代码问题与修正过程</w:t>
            </w:r>
          </w:p>
        </w:tc>
      </w:tr>
    </w:tbl>
    <w:p>
      <w:pPr>
        <w:pStyle w:val="8kakgo"/>
        <w:keepNext w:val="1"/>
        <w:keepLines w:val="1"/>
        <w:rPr>
          <w:sz w:val="32"/>
          <w:szCs w:val="32"/>
        </w:rPr>
      </w:pPr>
      <w:r>
        <w:rPr>
          <w:rFonts w:hint="eastAsia"/>
        </w:rPr>
        <w:t>四、评分维度与等级标准（核心）</w:t>
      </w:r>
    </w:p>
    <w:p>
      <w:r>
        <w:rPr>
          <w:rFonts w:hint="eastAsia"/>
        </w:rPr>
        <w:t>每份实验报告从以下六个维度评定，</w:t>
      </w:r>
      <w:r>
        <w:rPr>
          <w:rFonts w:hint="eastAsia"/>
          <w:b w:val="1"/>
        </w:rPr>
        <w:t>满分 100 分</w:t>
      </w:r>
      <w:r>
        <w:rPr>
          <w:rFonts w:hint="eastAsia"/>
        </w:rPr>
        <w:t>。六个维度满分分别为：基础信息与格式规范 10 分、实验目的与任务理解 10 分、实验过程描述与重点代码注释 30 分、实验错误描述与改正能力 20 分、实验总结与思考 15 分、AI 使用记录与规范 15 分。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评价维度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分值（满分）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评价要点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基础信息与格式规范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10 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信息完整、排版规范、符合报告模板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实验目的与任务理解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10 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目的任务阐述清晰准确，把握设计意图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实验过程描述与重点代码注释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30 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过程完整、步骤清晰、关键代码有规范注释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实验错误描述与改正能力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20 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如实记录问题，独立排查并解决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实验总结与思考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15 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总结深刻、不足与改进具体、思考题到位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</w:rPr>
              <w:t>AI 使用记录与规范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15 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记录完整、人工校验、隐私合规</w:t>
            </w:r>
          </w:p>
        </w:tc>
      </w:tr>
    </w:tbl>
    <w:p>
      <w:pPr>
        <w:pStyle w:val="q9jvm7"/>
        <w:keepNext w:val="1"/>
        <w:keepLines w:val="1"/>
        <w:rPr>
          <w:sz w:val="32"/>
          <w:szCs w:val="32"/>
        </w:rPr>
      </w:pPr>
      <w:r>
        <w:rPr>
          <w:rFonts w:hint="eastAsia"/>
        </w:rPr>
        <w:t>维度一：基础信息与格式规范（10 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得分比例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本维度得分区间（满分 10）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评定描述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>
            <w:r>
              <w:t>100%</w:t>
            </w:r>
          </w:p>
        </w:tc>
        <w:tc>
          <w:tcPr>
            <w:tcW w:w="2076" w:type="dxa"/>
          </w:tcPr>
          <w:p>
            <w:r>
              <w:t>9–10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基础信息完整无误；报告格式规范、排版整洁、完全符合模板要求。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>
            <w:r>
              <w:t>75%–89%</w:t>
            </w:r>
          </w:p>
        </w:tc>
        <w:tc>
          <w:tcPr>
            <w:tcW w:w="2076" w:type="dxa"/>
          </w:tcPr>
          <w:p>
            <w:r>
              <w:t>8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信息基本完整，格式较规范，存在少量瑕疵。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>
            <w:r>
              <w:t>60%–74%</w:t>
            </w:r>
          </w:p>
        </w:tc>
        <w:tc>
          <w:tcPr>
            <w:tcW w:w="2076" w:type="dxa"/>
          </w:tcPr>
          <w:p>
            <w:r>
              <w:t>6–7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信息有缺漏或格式不够规范，但不影响阅读与评定。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不及格</w:t>
            </w:r>
          </w:p>
        </w:tc>
        <w:tc>
          <w:tcPr>
            <w:tcW w:w="2076" w:type="dxa"/>
          </w:tcPr>
          <w:p>
            <w:r>
              <w:t>&lt;60%</w:t>
            </w:r>
          </w:p>
        </w:tc>
        <w:tc>
          <w:tcPr>
            <w:tcW w:w="2076" w:type="dxa"/>
          </w:tcPr>
          <w:p>
            <w:r>
              <w:t>≤5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信息严重缺失或格式混乱，未使用规定模板。</w:t>
            </w:r>
          </w:p>
        </w:tc>
      </w:tr>
    </w:tbl>
    <w:p>
      <w:pPr>
        <w:pStyle w:val="q9jvm7"/>
        <w:keepNext w:val="1"/>
        <w:keepLines w:val="1"/>
        <w:rPr>
          <w:sz w:val="32"/>
          <w:szCs w:val="32"/>
        </w:rPr>
      </w:pPr>
      <w:r>
        <w:rPr>
          <w:rFonts w:hint="eastAsia"/>
        </w:rPr>
        <w:t>维度二：实验目的与任务理解（10 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得分比例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本维度得分区间（满分 10）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评定描述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>
            <w:r>
              <w:t>100%</w:t>
            </w:r>
          </w:p>
        </w:tc>
        <w:tc>
          <w:tcPr>
            <w:tcW w:w="2076" w:type="dxa"/>
          </w:tcPr>
          <w:p>
            <w:r>
              <w:t>9–10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目的与任务阐述清晰准确，体现对实验设计意图与能力目标的把握。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>
            <w:r>
              <w:t>75%–89%</w:t>
            </w:r>
          </w:p>
        </w:tc>
        <w:tc>
          <w:tcPr>
            <w:tcW w:w="2076" w:type="dxa"/>
          </w:tcPr>
          <w:p>
            <w:r>
              <w:t>8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阐述较清楚，个别表述不够准确。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>
            <w:r>
              <w:t>60%–74%</w:t>
            </w:r>
          </w:p>
        </w:tc>
        <w:tc>
          <w:tcPr>
            <w:tcW w:w="2076" w:type="dxa"/>
          </w:tcPr>
          <w:p>
            <w:r>
              <w:t>6–7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目的任务基本说明，但理解较浅。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不及格</w:t>
            </w:r>
          </w:p>
        </w:tc>
        <w:tc>
          <w:tcPr>
            <w:tcW w:w="2076" w:type="dxa"/>
          </w:tcPr>
          <w:p>
            <w:r>
              <w:t>&lt;60%</w:t>
            </w:r>
          </w:p>
        </w:tc>
        <w:tc>
          <w:tcPr>
            <w:tcW w:w="2076" w:type="dxa"/>
          </w:tcPr>
          <w:p>
            <w:r>
              <w:t>≤5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目的任务模糊、照搬或明显未理解。</w:t>
            </w:r>
          </w:p>
        </w:tc>
      </w:tr>
    </w:tbl>
    <w:p>
      <w:pPr>
        <w:pStyle w:val="q9jvm7"/>
        <w:keepNext w:val="1"/>
        <w:keepLines w:val="1"/>
        <w:rPr>
          <w:sz w:val="32"/>
          <w:szCs w:val="32"/>
        </w:rPr>
      </w:pPr>
      <w:r>
        <w:rPr>
          <w:rFonts w:hint="eastAsia"/>
        </w:rPr>
        <w:t>维度三：实验过程描述与重点代码注释（30 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得分比例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本维度得分区间（满分 30）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评定描述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>
            <w:r>
              <w:t>100%</w:t>
            </w:r>
          </w:p>
        </w:tc>
        <w:tc>
          <w:tcPr>
            <w:tcW w:w="2076" w:type="dxa"/>
          </w:tcPr>
          <w:p>
            <w:r>
              <w:t>27–30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过程记录完整、步骤清晰；核心代码均有规范注释，关键逻辑（生命周期 / 路由 / 权限 / 事务）解释正确、能讲解。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>
            <w:r>
              <w:t>75%–89%</w:t>
            </w:r>
          </w:p>
        </w:tc>
        <w:tc>
          <w:tcPr>
            <w:tcW w:w="2076" w:type="dxa"/>
          </w:tcPr>
          <w:p>
            <w:r>
              <w:t>23–26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过程较完整，主要代码有注释，少量遗漏。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>
            <w:r>
              <w:t>60%–74%</w:t>
            </w:r>
          </w:p>
        </w:tc>
        <w:tc>
          <w:tcPr>
            <w:tcW w:w="2076" w:type="dxa"/>
          </w:tcPr>
          <w:p>
            <w:r>
              <w:t>18–22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过程记录基本齐全，注释不足或部分关键步骤缺失。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不及格</w:t>
            </w:r>
          </w:p>
        </w:tc>
        <w:tc>
          <w:tcPr>
            <w:tcW w:w="2076" w:type="dxa"/>
          </w:tcPr>
          <w:p>
            <w:r>
              <w:t>&lt;60%</w:t>
            </w:r>
          </w:p>
        </w:tc>
        <w:tc>
          <w:tcPr>
            <w:tcW w:w="2076" w:type="dxa"/>
          </w:tcPr>
          <w:p>
            <w:r>
              <w:t>≤17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过程严重缺失、大量无注释或直接整段粘贴代码。</w:t>
            </w:r>
          </w:p>
        </w:tc>
      </w:tr>
    </w:tbl>
    <w:p>
      <w:pPr>
        <w:pStyle w:val="q9jvm7"/>
        <w:keepNext w:val="1"/>
        <w:keepLines w:val="1"/>
        <w:rPr>
          <w:sz w:val="32"/>
          <w:szCs w:val="32"/>
        </w:rPr>
      </w:pPr>
      <w:r>
        <w:rPr>
          <w:rFonts w:hint="eastAsia"/>
        </w:rPr>
        <w:t>维度四：实验错误描述与改正能力（20 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得分比例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本维度得分区间（满分 20）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评定描述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>
            <w:r>
              <w:t>100%</w:t>
            </w:r>
          </w:p>
        </w:tc>
        <w:tc>
          <w:tcPr>
            <w:tcW w:w="2076" w:type="dxa"/>
          </w:tcPr>
          <w:p>
            <w:r>
              <w:t>18–20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如实记录 ≥2 个典型问题，含现象 / 排查思路 / 解决方法 / 整改结果，体现独立排错能力。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>
            <w:r>
              <w:t>75%–89%</w:t>
            </w:r>
          </w:p>
        </w:tc>
        <w:tc>
          <w:tcPr>
            <w:tcW w:w="2076" w:type="dxa"/>
          </w:tcPr>
          <w:p>
            <w:r>
              <w:t>15–17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问题记录较完整，能解决主要问题，少量依赖指导。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>
            <w:r>
              <w:t>60%–74%</w:t>
            </w:r>
          </w:p>
        </w:tc>
        <w:tc>
          <w:tcPr>
            <w:tcW w:w="2076" w:type="dxa"/>
          </w:tcPr>
          <w:p>
            <w:r>
              <w:t>12–14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记录简单，在提示下解决部分问题。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不及格</w:t>
            </w:r>
          </w:p>
        </w:tc>
        <w:tc>
          <w:tcPr>
            <w:tcW w:w="2076" w:type="dxa"/>
          </w:tcPr>
          <w:p>
            <w:r>
              <w:t>&lt;60%</w:t>
            </w:r>
          </w:p>
        </w:tc>
        <w:tc>
          <w:tcPr>
            <w:tcW w:w="2076" w:type="dxa"/>
          </w:tcPr>
          <w:p>
            <w:r>
              <w:t>≤11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无问题记录或无法排查，报告中无错误分析。</w:t>
            </w:r>
          </w:p>
        </w:tc>
      </w:tr>
    </w:tbl>
    <w:p>
      <w:pPr>
        <w:pStyle w:val="q9jvm7"/>
        <w:keepNext w:val="1"/>
        <w:keepLines w:val="1"/>
        <w:rPr>
          <w:sz w:val="32"/>
          <w:szCs w:val="32"/>
        </w:rPr>
      </w:pPr>
      <w:r>
        <w:rPr>
          <w:rFonts w:hint="eastAsia"/>
        </w:rPr>
        <w:t>维度五：实验总结与思考（15 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得分比例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本维度得分区间（满分 15）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评定描述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>
            <w:r>
              <w:t>100%</w:t>
            </w:r>
          </w:p>
        </w:tc>
        <w:tc>
          <w:tcPr>
            <w:tcW w:w="2076" w:type="dxa"/>
          </w:tcPr>
          <w:p>
            <w:r>
              <w:t>14–15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总结深刻，知识点收获明确，不足与改进方向具体，思考题解答到位。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>
            <w:r>
              <w:t>75%–89%</w:t>
            </w:r>
          </w:p>
        </w:tc>
        <w:tc>
          <w:tcPr>
            <w:tcW w:w="2076" w:type="dxa"/>
          </w:tcPr>
          <w:p>
            <w:r>
              <w:t>12–13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总结较完整，有收获与改进思考。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>
            <w:r>
              <w:t>60%–74%</w:t>
            </w:r>
          </w:p>
        </w:tc>
        <w:tc>
          <w:tcPr>
            <w:tcW w:w="2076" w:type="dxa"/>
          </w:tcPr>
          <w:p>
            <w:r>
              <w:t>9–11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总结基本齐全但较浅，思考题作答一般。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不及格</w:t>
            </w:r>
          </w:p>
        </w:tc>
        <w:tc>
          <w:tcPr>
            <w:tcW w:w="2076" w:type="dxa"/>
          </w:tcPr>
          <w:p>
            <w:r>
              <w:t>&lt;60%</w:t>
            </w:r>
          </w:p>
        </w:tc>
        <w:tc>
          <w:tcPr>
            <w:tcW w:w="2076" w:type="dxa"/>
          </w:tcPr>
          <w:p>
            <w:r>
              <w:t>≤8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总结敷衍、抄袭拼凑或严重缺失。</w:t>
            </w:r>
          </w:p>
        </w:tc>
      </w:tr>
    </w:tbl>
    <w:p>
      <w:pPr>
        <w:pStyle w:val="q9jvm7"/>
        <w:keepNext w:val="1"/>
        <w:keepLines w:val="1"/>
        <w:rPr>
          <w:sz w:val="32"/>
          <w:szCs w:val="32"/>
        </w:rPr>
      </w:pPr>
      <w:r>
        <w:rPr>
          <w:rFonts w:hint="eastAsia"/>
        </w:rPr>
        <w:t>维度六：AI 使用记录与规范（15 分）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得分比例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本维度得分区间（满分 15）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评定描述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优秀</w:t>
            </w:r>
          </w:p>
        </w:tc>
        <w:tc>
          <w:tcPr>
            <w:tcW w:w="2076" w:type="dxa"/>
          </w:tcPr>
          <w:p>
            <w:r>
              <w:t>100%</w:t>
            </w:r>
          </w:p>
        </w:tc>
        <w:tc>
          <w:tcPr>
            <w:tcW w:w="2076" w:type="dxa"/>
          </w:tcPr>
          <w:p>
            <w:r>
              <w:t>14–15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完整记录 AI 使用场景、提示词要点、AI 代码修正清单；体现"AI 辅助、人脑主导"，无整段复制，隐私合规。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良好</w:t>
            </w:r>
          </w:p>
        </w:tc>
        <w:tc>
          <w:tcPr>
            <w:tcW w:w="2076" w:type="dxa"/>
          </w:tcPr>
          <w:p>
            <w:r>
              <w:t>75%–89%</w:t>
            </w:r>
          </w:p>
        </w:tc>
        <w:tc>
          <w:tcPr>
            <w:tcW w:w="2076" w:type="dxa"/>
          </w:tcPr>
          <w:p>
            <w:r>
              <w:t>12–13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有 AI 使用记录，基本做到人工校验，偶有未逐行核对。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及格</w:t>
            </w:r>
          </w:p>
        </w:tc>
        <w:tc>
          <w:tcPr>
            <w:tcW w:w="2076" w:type="dxa"/>
          </w:tcPr>
          <w:p>
            <w:r>
              <w:t>60%–74%</w:t>
            </w:r>
          </w:p>
        </w:tc>
        <w:tc>
          <w:tcPr>
            <w:tcW w:w="2076" w:type="dxa"/>
          </w:tcPr>
          <w:p>
            <w:r>
              <w:t>9–11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有 AI 使用痕迹但记录不完整，校验不足。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不及格</w:t>
            </w:r>
          </w:p>
        </w:tc>
        <w:tc>
          <w:tcPr>
            <w:tcW w:w="2076" w:type="dxa"/>
          </w:tcPr>
          <w:p>
            <w:r>
              <w:t>&lt;60%</w:t>
            </w:r>
          </w:p>
        </w:tc>
        <w:tc>
          <w:tcPr>
            <w:tcW w:w="2076" w:type="dxa"/>
          </w:tcPr>
          <w:p>
            <w:r>
              <w:t>≤8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 AI 记录、直接复制 AI 完整项目，或存在隐私违规。</w:t>
            </w:r>
          </w:p>
        </w:tc>
      </w:tr>
    </w:tbl>
    <w:p>
      <w:pPr>
        <w:pStyle w:val="8kakgo"/>
        <w:keepNext w:val="1"/>
        <w:keepLines w:val="1"/>
        <w:rPr>
          <w:sz w:val="32"/>
          <w:szCs w:val="32"/>
        </w:rPr>
      </w:pPr>
      <w:r>
        <w:rPr>
          <w:rFonts w:hint="eastAsia"/>
        </w:rPr>
        <w:t>五、实验一专项评分要点（24 学时，个人独立完成）</w:t>
      </w:r>
    </w:p>
    <w:p>
      <w:r>
        <w:rPr>
          <w:rFonts w:hint="eastAsia"/>
        </w:rPr>
        <w:t>环境搭建：JDK 17 与 Android Studio 安装、JAVA_HOME / ANDROID_HOME 配置、SDK Platform 34 与模拟器创建、Log 分级日志输出正常。</w:t>
      </w:r>
    </w:p>
    <w:p>
      <w:r>
        <w:rPr>
          <w:rFonts w:hint="eastAsia"/>
        </w:rPr>
        <w:t>组件与 UI：Activity 七大生命周期、Intent 跳转 / 参数传递与回传、四种启动模式；四大基础布局、常用控件与事件处理；广播机制（系统广播监听与自定义广播）。</w:t>
      </w:r>
    </w:p>
    <w:p>
      <w:r>
        <w:rPr>
          <w:rFonts w:hint="eastAsia"/>
        </w:rPr>
        <w:t>数据存储：文件存储、SharedPreferences、SQLite 三种持久化方案，完成通讯录数据库案例；内容提供器与运行时权限机制，系统数据读取与跨 App 访问。</w:t>
      </w:r>
    </w:p>
    <w:p>
      <w:r>
        <w:rPr>
          <w:rFonts w:hint="eastAsia"/>
        </w:rPr>
        <w:t>网络与整合：HTTP 网络请求、JSON 解析，与 Spring 后端接口联调；Service 生命周期、后台下载 / 定位 / 多媒体功能；Android 客户端与 SpringMVC 后端综合项目前后端全链路整合。</w:t>
      </w:r>
    </w:p>
    <w:p>
      <w:r>
        <w:rPr>
          <w:rFonts w:hint="eastAsia"/>
        </w:rPr>
        <w:t>工程与 AI：使用 Git 管理代码（每任务至少一次有效提交）；规范使用 AI 辅助开发，能甄别与修正 AI 生成代码，并保留交互与修正记录。</w:t>
      </w:r>
    </w:p>
    <w:p>
      <w:pPr>
        <w:pStyle w:val="8kakgo"/>
        <w:keepNext w:val="1"/>
        <w:keepLines w:val="1"/>
        <w:rPr>
          <w:sz w:val="32"/>
          <w:szCs w:val="32"/>
        </w:rPr>
      </w:pPr>
      <w:r>
        <w:rPr>
          <w:rFonts w:hint="eastAsia"/>
        </w:rPr>
        <w:t>六、实验二专项评分要点（8 学时，含分组综合项目）</w:t>
      </w:r>
    </w:p>
    <w:p>
      <w:r>
        <w:rPr>
          <w:rFonts w:hint="eastAsia"/>
        </w:rPr>
        <w:t>环境搭建：HBuilderX 与运行插件安装、UniApp 项目目录结构（pages / static / App.vue / pages.json / manifest.json）剖析、H5 与 Android 基座多端运行。</w:t>
      </w:r>
    </w:p>
    <w:p>
      <w:r>
        <w:rPr>
          <w:rFonts w:hint="eastAsia"/>
        </w:rPr>
        <w:t>页面与路由：页面创建、生命周期函数、navigateTo / redirectTo / switchTab / reLaunch 路由 API 与参数传递、tabBar 配置。</w:t>
      </w:r>
    </w:p>
    <w:p>
      <w:r>
        <w:rPr>
          <w:rFonts w:hint="eastAsia"/>
        </w:rPr>
        <w:t>组件与布局：高频组件与事件；Flex 布局完成"顶部搜索栏 + 中部滚动列表 + 底部操作栏"三段式；rpx 与条件编译多端样式适配。</w:t>
      </w:r>
    </w:p>
    <w:p>
      <w:r>
        <w:rPr>
          <w:rFonts w:hint="eastAsia"/>
        </w:rPr>
        <w:t>存储与网络：uni-storage 本地存储（登录记忆 / 搜索历史）；uni.request 统一封装与接口对接；下拉刷新、触底分页与异常兜底 UI。</w:t>
      </w:r>
    </w:p>
    <w:p>
      <w:r>
        <w:rPr>
          <w:rFonts w:hint="eastAsia"/>
        </w:rPr>
        <w:t>综合项目：以"简易资讯 App"等为例完成需求分析、功能开发、双端运行验证与原生 vs 跨端对比总结（≥300 字）；分组项目须注明分工、准备演示与答辩。AI 辅助优化代码结构并修复其引入的问题。</w:t>
      </w:r>
    </w:p>
    <w:p>
      <w:pPr>
        <w:pStyle w:val="8kakgo"/>
        <w:keepNext w:val="1"/>
        <w:keepLines w:val="1"/>
        <w:rPr>
          <w:sz w:val="32"/>
          <w:szCs w:val="32"/>
        </w:rPr>
      </w:pPr>
      <w:r>
        <w:rPr>
          <w:rFonts w:hint="eastAsia"/>
        </w:rPr>
        <w:t>七、扣分与一票否决条款</w:t>
      </w:r>
    </w:p>
    <w:p>
      <w:r>
        <w:rPr>
          <w:rFonts w:hint="eastAsia"/>
        </w:rPr>
        <w:t>抄袭 / 直接复制他人或 AI 生成的完整项目代码：实验成绩记 0 分（一票否决，报告与代码均无效）。</w:t>
      </w:r>
    </w:p>
    <w:p>
      <w:r>
        <w:rPr>
          <w:rFonts w:hint="eastAsia"/>
        </w:rPr>
        <w:t>未保留 AI 交互调试记录与代码修正痕迹：维度六（AI 使用记录与规范，15 分）计 0 分。</w:t>
      </w:r>
    </w:p>
    <w:p>
      <w:r>
        <w:rPr>
          <w:rFonts w:hint="eastAsia"/>
        </w:rPr>
        <w:t>迟交：超过规定 1 周未提交，每延迟 1 周在实验报告折算分内扣 5 分；超过 2 周以上酌情按不及格处理（凭有效请假条可豁免）。</w:t>
      </w:r>
    </w:p>
    <w:p>
      <w:r>
        <w:rPr>
          <w:rFonts w:hint="eastAsia"/>
        </w:rPr>
        <w:t>报告内容缺失某部分：对应维度按比例扣分。</w:t>
      </w:r>
    </w:p>
    <w:p>
      <w:r>
        <w:rPr>
          <w:rFonts w:hint="eastAsia"/>
        </w:rPr>
        <w:t>未提交可运行源码 / Git 提交历史：维度三、维度一酌情扣分。</w:t>
      </w:r>
    </w:p>
    <w:p>
      <w:r>
        <w:rPr>
          <w:rFonts w:hint="eastAsia"/>
        </w:rPr>
        <w:t>隐私违规（硬编码真实账号口令、带入隐私数据）：维度六计 0 分并通报批评。实验二分组项目未注明分工：维度一酌情扣分。</w:t>
      </w:r>
    </w:p>
    <w:p>
      <w:pPr>
        <w:pStyle w:val="8kakgo"/>
        <w:keepNext w:val="1"/>
        <w:keepLines w:val="1"/>
        <w:rPr>
          <w:sz w:val="32"/>
          <w:szCs w:val="32"/>
        </w:rPr>
      </w:pPr>
      <w:r>
        <w:rPr>
          <w:rFonts w:hint="eastAsia"/>
        </w:rPr>
        <w:t>八、实验报告评分表（教师用）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/>
        <w:tc>
          <w:tcPr>
            <w:tcW w:w="1384" w:type="dxa"/>
          </w:tcPr>
          <w:p>
            <w:r>
              <w:rPr>
                <w:rFonts w:hint="eastAsia"/>
              </w:rPr>
              <w:t>实验名称</w:t>
            </w:r>
          </w:p>
        </w:tc>
        <w:tc>
          <w:tcPr>
            <w:tcW w:w="1384" w:type="dxa"/>
          </w:tcPr>
          <w:p>
            <w:r>
              <w:t>____________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姓名</w:t>
            </w:r>
          </w:p>
        </w:tc>
        <w:tc>
          <w:tcPr>
            <w:tcW w:w="1384" w:type="dxa"/>
          </w:tcPr>
          <w:p>
            <w:r>
              <w:t>____________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学号</w:t>
            </w:r>
          </w:p>
        </w:tc>
        <w:tc>
          <w:tcPr>
            <w:tcW w:w="1384" w:type="dxa"/>
          </w:tcPr>
          <w:p>
            <w:r>
              <w:t>____________</w:t>
            </w:r>
          </w:p>
        </w:tc>
      </w:tr>
      <w:tr>
        <w:trPr/>
        <w:tc>
          <w:tcPr>
            <w:tcW w:w="1384" w:type="dxa"/>
          </w:tcPr>
          <w:p>
            <w:r>
              <w:rPr>
                <w:rFonts w:hint="eastAsia"/>
              </w:rPr>
              <w:t>班级</w:t>
            </w:r>
          </w:p>
        </w:tc>
        <w:tc>
          <w:tcPr>
            <w:tcW w:w="1384" w:type="dxa"/>
          </w:tcPr>
          <w:p>
            <w:r>
              <w:t>____________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日期</w:t>
            </w:r>
          </w:p>
        </w:tc>
        <w:tc>
          <w:tcPr>
            <w:tcW w:w="1384" w:type="dxa"/>
          </w:tcPr>
          <w:p>
            <w:r>
              <w:t>____________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指导教师</w:t>
            </w:r>
          </w:p>
        </w:tc>
        <w:tc>
          <w:tcPr>
            <w:tcW w:w="1384" w:type="dxa"/>
          </w:tcPr>
          <w:p>
            <w:r>
              <w:t>____________</w:t>
            </w:r>
          </w:p>
        </w:tc>
      </w:tr>
    </w:tbl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评价维度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满分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评分要点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得分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基础信息与格式规范</w:t>
            </w:r>
          </w:p>
        </w:tc>
        <w:tc>
          <w:tcPr>
            <w:tcW w:w="2076" w:type="dxa"/>
          </w:tcPr>
          <w:p>
            <w:r>
              <w:t>10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信息完整、排版规范、符合模板</w:t>
            </w:r>
          </w:p>
        </w:tc>
        <w:tc>
          <w:tcPr>
            <w:tcW w:w="2076" w:type="dxa"/>
          </w:tcPr>
          <w:p/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实验目的与任务理解</w:t>
            </w:r>
          </w:p>
        </w:tc>
        <w:tc>
          <w:tcPr>
            <w:tcW w:w="2076" w:type="dxa"/>
          </w:tcPr>
          <w:p>
            <w:r>
              <w:t>10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目的任务清晰准确</w:t>
            </w:r>
          </w:p>
        </w:tc>
        <w:tc>
          <w:tcPr>
            <w:tcW w:w="2076" w:type="dxa"/>
          </w:tcPr>
          <w:p/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实验过程描述与重点代码注释</w:t>
            </w:r>
          </w:p>
        </w:tc>
        <w:tc>
          <w:tcPr>
            <w:tcW w:w="2076" w:type="dxa"/>
          </w:tcPr>
          <w:p>
            <w:r>
              <w:t>30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过程完整、代码注释规范</w:t>
            </w:r>
          </w:p>
        </w:tc>
        <w:tc>
          <w:tcPr>
            <w:tcW w:w="2076" w:type="dxa"/>
          </w:tcPr>
          <w:p/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实验错误描述与改正能力</w:t>
            </w:r>
          </w:p>
        </w:tc>
        <w:tc>
          <w:tcPr>
            <w:tcW w:w="2076" w:type="dxa"/>
          </w:tcPr>
          <w:p>
            <w:r>
              <w:t>20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如实记录、独立排查解决</w:t>
            </w:r>
          </w:p>
        </w:tc>
        <w:tc>
          <w:tcPr>
            <w:tcW w:w="2076" w:type="dxa"/>
          </w:tcPr>
          <w:p/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实验总结与思考</w:t>
            </w:r>
          </w:p>
        </w:tc>
        <w:tc>
          <w:tcPr>
            <w:tcW w:w="2076" w:type="dxa"/>
          </w:tcPr>
          <w:p>
            <w:r>
              <w:t>15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总结深刻、思考题到位</w:t>
            </w:r>
          </w:p>
        </w:tc>
        <w:tc>
          <w:tcPr>
            <w:tcW w:w="2076" w:type="dxa"/>
          </w:tcPr>
          <w:p/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AI 使用记录与规范</w:t>
            </w:r>
          </w:p>
        </w:tc>
        <w:tc>
          <w:tcPr>
            <w:tcW w:w="2076" w:type="dxa"/>
          </w:tcPr>
          <w:p>
            <w:r>
              <w:t>15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记录完整、人工校验、隐私合规</w:t>
            </w:r>
          </w:p>
        </w:tc>
        <w:tc>
          <w:tcPr>
            <w:tcW w:w="2076" w:type="dxa"/>
          </w:tcPr>
          <w:p/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合计</w:t>
            </w:r>
          </w:p>
        </w:tc>
        <w:tc>
          <w:tcPr>
            <w:tcW w:w="2076" w:type="dxa"/>
          </w:tcPr>
          <w:p>
            <w:r>
              <w:t>100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百分制 S = 各维度得分之和</w:t>
            </w:r>
          </w:p>
        </w:tc>
        <w:tc>
          <w:tcPr>
            <w:tcW w:w="2076" w:type="dxa"/>
          </w:tcPr>
          <w:p/>
        </w:tc>
      </w:tr>
    </w:tbl>
    <w:p>
      <w:r>
        <w:rPr>
          <w:rFonts w:hint="eastAsia"/>
        </w:rPr>
        <w:t>百分制得分 S：__________　|　折算实验报告分（满分 50，= S ÷ 100 × 50）：__________</w:t>
      </w:r>
    </w:p>
    <w:p>
      <w:r>
        <w:rPr>
          <w:rFonts w:hint="eastAsia"/>
        </w:rPr>
        <w:t>教师评语：________________________________________________________________________________</w:t>
      </w:r>
    </w:p>
    <w:p>
      <w:r>
        <w:rPr>
          <w:rFonts w:hint="eastAsia"/>
        </w:rPr>
        <w:t>教师签字：____________　　日期：____________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style w:type="paragraph" w:styleId="nal0ic" w:default="1">
    <w:name w:val="Normal"/>
    <w:pPr>
      <w:widowControl w:val="0"/>
      <w:jc w:val="left"/>
    </w:pPr>
  </w:style>
  <w:style w:type="paragraph" w:styleId="jihxri">
    <w:name w:val="Title"/>
    <w:basedOn w:val="nal0ic"/>
    <w:next w:val="nal0ic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8kakgo">
    <w:name w:val="heading 2"/>
    <w:basedOn w:val="nal0ic"/>
    <w:next w:val="nal0ic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q9jvm7">
    <w:name w:val="heading 3"/>
    <w:basedOn w:val="nal0ic"/>
    <w:next w:val="nal0ic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2026-08-27T23:42:25Z</dcterms:created>
  <dcterms:modified xsi:type="dcterms:W3CDTF">2026-08-27T23:42:25Z</dcterms:modified>
</cp:coreProperties>
</file>