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adapters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skins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ventana, los usuarios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TP fuera solo la consola, sin ventana ni IA,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podría imprimir directo y los puertos serían de más. La frontera pagó cuando agregamos la ventana, la IA y los usuarios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 En la ventana, cada partida la arma un </w:t>
      </w:r>
      <w:r>
        <w:rPr>
          <w:rFonts w:ascii="Courier New" w:hAnsi="Courier New" w:eastAsia="Courier New"/>
          <w:b w:val="0"/>
          <w:color w:val="000000"/>
          <w:sz w:val="20"/>
        </w:rPr>
        <w:t>GameBuilder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implementa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método: </w:t>
      </w:r>
      <w:r>
        <w:rPr>
          <w:rFonts w:ascii="Courier New" w:hAnsi="Courier New" w:eastAsia="Courier New"/>
          <w:b w:val="0"/>
          <w:color w:val="000000"/>
          <w:sz w:val="20"/>
        </w:rPr>
        <w:t>local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(1 contra 1 o contra la IA). Devuelve el juego, el que acredita los puntos y, si corresponde, la IA. </w:t>
      </w:r>
      <w:r>
        <w:rPr>
          <w:rFonts w:ascii="Courier New" w:hAnsi="Courier New" w:eastAsia="Courier New"/>
          <w:b w:val="0"/>
          <w:color w:val="000000"/>
          <w:sz w:val="20"/>
        </w:rPr>
        <w:t>GameBuilder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un </w:t>
      </w:r>
      <w:r>
        <w:rPr>
          <w:rFonts w:ascii="Courier New" w:hAnsi="Courier New" w:eastAsia="Courier New"/>
          <w:b w:val="0"/>
          <w:color w:val="000000"/>
          <w:sz w:val="20"/>
        </w:rPr>
        <w:t>IGameView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la partida necesita de una pantalla), no la ventana concreta. La vista no crea ninguno de esos colaboradores con </w:t>
      </w:r>
      <w:r>
        <w:rPr>
          <w:rFonts w:ascii="Courier New" w:hAnsi="Courier New" w:eastAsia="Courier New"/>
          <w:b w:val="0"/>
          <w:color w:val="000000"/>
          <w:sz w:val="20"/>
        </w:rPr>
        <w:t>new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Agregar una regla nueva obligaba a modificarlo. Ahora es una clase nueva y una línea en </w:t>
      </w:r>
      <w:r>
        <w:rPr>
          <w:rFonts w:ascii="Courier New" w:hAnsi="Courier New" w:eastAsia="Courier New"/>
          <w:b w:val="0"/>
          <w:color w:val="000000"/>
          <w:sz w:val="20"/>
        </w:rPr>
        <w:t>StandardRules</w:t>
      </w:r>
      <w:r>
        <w:rPr>
          <w:rFonts w:ascii="Times New Roman" w:hAnsi="Times New Roman" w:eastAsia="Times New Roman"/>
          <w:b w:val="0"/>
          <w:color w:val="000000"/>
          <w:sz w:val="24"/>
        </w:rPr>
        <w:t>, que arma las reglas de siempre para la consola, la ventana y la búsqueda de la IA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Cada estado dice de quién es el turno y si la partida terminó. Las transiciones a mate, ahogado o tablas no las deciden los estados: las decide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después de cada jugada, porque es el único que conoce el tablero y las reglas.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suelto: el historial guarda el estado de antes y el de después de cada jugada, y deshacer o rehacer vuelve a ese estado sin recalcular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State a medio camino, y lo decimos así: si aparecieran más fases (abandono, tiempo agotado, tablas por acuerdo), convendría que cada estado decida su transición, porque si no hay que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por cada una. Si el grupo prefiere lo más simple, con el color al turno y un resultado alcanzaría.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El minimax evalúa con el material y un poco de criterio posicional (</w:t>
      </w:r>
      <w:r>
        <w:rPr>
          <w:rFonts w:ascii="Courier New" w:hAnsi="Courier New" w:eastAsia="Courier New"/>
          <w:b w:val="0"/>
          <w:color w:val="000000"/>
          <w:sz w:val="20"/>
        </w:rPr>
        <w:t>Evaluation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peones y piezas hacia el centro, desarrollo de caballos y alfiles, y el rey en su fila mientras haya damas), para que no juegue al azar cuando ninguna jugada gana material.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 bis. Usuarios y ranking también viven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paquete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</w:t>
      </w:r>
      <w:r>
        <w:rPr>
          <w:rFonts w:ascii="Courier New" w:hAnsi="Courier New" w:eastAsia="Courier New"/>
          <w:b w:val="0"/>
          <w:color w:val="000000"/>
          <w:sz w:val="20"/>
        </w:rPr>
        <w:t>User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(valores inmutables), </w:t>
      </w:r>
      <w:r>
        <w:rPr>
          <w:rFonts w:ascii="Courier New" w:hAnsi="Courier New" w:eastAsia="Courier New"/>
          <w:b w:val="0"/>
          <w:color w:val="000000"/>
          <w:sz w:val="20"/>
        </w:rPr>
        <w:t>AccountService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(registrar, entrar, armar el ranking) y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>, un observador que escucha la partida y acredita el resultado. Guardar los datos es un puerto de salida (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en el mismo paquete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>: es el puerto que necesitan las cuentas, no el núcleo) con un adaptador de archivo CSV (</w:t>
      </w:r>
      <w:r>
        <w:rPr>
          <w:rFonts w:ascii="Courier New" w:hAnsi="Courier New" w:eastAsia="Courier New"/>
          <w:b w:val="0"/>
          <w:color w:val="000000"/>
          <w:sz w:val="20"/>
        </w:rPr>
        <w:t>FileAccountStore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). Se entra solo con el nombre de usuario, sin contraseña; el id lo asigna el sistema y es interno.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Quién juega y cuántas partidas ganó no es una regla del ajedrez. Como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implementa los mismos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ya usaban la consola y la ventana, no se tocó ninguna clase del núcleo. Cambiar el CSV por otra forma de guardar es escribir otro adaptador de 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. Deshacer la jugada final revierte el resultado y rehacerla lo vuelve a sumar, para que una misma partida no cuente dos veces.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usuarios reales haría falta contraseña, y el CSV no soporta bien dos procesos escribiendo a la vez; ahí convendría una base de datos detrás del mismo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15. El tablero de la ventana es su propio componente y sigue a la ventana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dibuja las casillas, las coordenadas y las piezas; </w:t>
      </w:r>
      <w:r>
        <w:rPr>
          <w:rFonts w:ascii="Courier New" w:hAnsi="Courier New" w:eastAsia="Courier New"/>
          <w:b w:val="0"/>
          <w:color w:val="000000"/>
          <w:sz w:val="20"/>
        </w:rPr>
        <w:t>SwingChessView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maneja las pantallas y el turno. Cuando la ventana cambia de tamaño, </w:t>
      </w:r>
      <w:r>
        <w:rPr>
          <w:rFonts w:ascii="Courier New" w:hAnsi="Courier New" w:eastAsia="Courier New"/>
          <w:b w:val="0"/>
          <w:color w:val="000000"/>
          <w:sz w:val="20"/>
        </w:rPr>
        <w:t>BoardView.fitTo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calcula el lado de casilla que entra y las piezas se vuelven a armar a ese tamaño, con imágenes de varias resoluciones (</w:t>
      </w:r>
      <w:r>
        <w:rPr>
          <w:rFonts w:ascii="Courier New" w:hAnsi="Courier New" w:eastAsia="Courier New"/>
          <w:b w:val="0"/>
          <w:color w:val="000000"/>
          <w:sz w:val="20"/>
        </w:rPr>
        <w:t>SmoothImage</w:t>
      </w:r>
      <w:r>
        <w:rPr>
          <w:rFonts w:ascii="Times New Roman" w:hAnsi="Times New Roman" w:eastAsia="Times New Roman"/>
          <w:b w:val="0"/>
          <w:color w:val="000000"/>
          <w:sz w:val="24"/>
        </w:rPr>
        <w:t>) para que se vean nítidas con la pantalla escalada (125 %, 150 %, Retina).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ventana tenía unas 670 líneas con todo mezclado. Separar el tablero lo hizo más fácil de leer y permitió el requisito no funcional de que se vea bien en cualquier tamaño y pantalla. Rehacer doce piezas en varias resoluciones cuesta, así que se rehacen cuando se deja de arrastrar el borde (Unidad 4: no pagar el costo en cada evento). Es una decisión de experiencia de uso: no se midió con un profiler.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 ventana tuviera un tamaño fijo, recalcular las casillas sería trabajo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16. Los recursos se leen del classpath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ícono, las piezas y el catálogo de skins se leen del classpath (</w:t>
      </w:r>
      <w:r>
        <w:rPr>
          <w:rFonts w:ascii="Courier New" w:hAnsi="Courier New" w:eastAsia="Courier New"/>
          <w:b w:val="0"/>
          <w:color w:val="000000"/>
          <w:sz w:val="20"/>
        </w:rPr>
        <w:t>Assets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), no de </w:t>
      </w:r>
      <w:r>
        <w:rPr>
          <w:rFonts w:ascii="Courier New" w:hAnsi="Courier New" w:eastAsia="Courier New"/>
          <w:b w:val="0"/>
          <w:color w:val="000000"/>
          <w:sz w:val="20"/>
        </w:rPr>
        <w:t>src/assets/...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ícono va con </w:t>
      </w:r>
      <w:r>
        <w:rPr>
          <w:rFonts w:ascii="Courier New" w:hAnsi="Courier New" w:eastAsia="Courier New"/>
          <w:b w:val="0"/>
          <w:color w:val="000000"/>
          <w:sz w:val="20"/>
        </w:rPr>
        <w:t>setIconImages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y, en macOS, con </w:t>
      </w:r>
      <w:r>
        <w:rPr>
          <w:rFonts w:ascii="Courier New" w:hAnsi="Courier New" w:eastAsia="Courier New"/>
          <w:b w:val="0"/>
          <w:color w:val="000000"/>
          <w:sz w:val="20"/>
        </w:rPr>
        <w:t>Taskbar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la ruta relativa el juego dependía de la carpeta desde la que se ejecutaba, y el ícono solo aparecía en Windows. Es un requisito no funcional: tiene que andar igual en las PCs del grupo.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los recursos tuvieran que poder cambiarse sin recompilar (por ejemplo, skins que agrega el usuario), habría que leerlos de una carpeta configurable además del classpath.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17. Las skins se agregan con datos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catálogo de skins es un archivo (</w:t>
      </w:r>
      <w:r>
        <w:rPr>
          <w:rFonts w:ascii="Courier New" w:hAnsi="Courier New" w:eastAsia="Courier New"/>
          <w:b w:val="0"/>
          <w:color w:val="000000"/>
          <w:sz w:val="20"/>
        </w:rPr>
        <w:t>assets/skins/skins.csv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más una carpeta con las 12 piezas. </w:t>
      </w:r>
      <w:r>
        <w:rPr>
          <w:rFonts w:ascii="Courier New" w:hAnsi="Courier New" w:eastAsia="Courier New"/>
          <w:b w:val="0"/>
          <w:color w:val="000000"/>
          <w:sz w:val="20"/>
        </w:rPr>
        <w:t>SkinService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decide cuáles están desbloqueadas por los puntos del ranking y la elegida se guarda por el puerto </w:t>
      </w:r>
      <w:r>
        <w:rPr>
          <w:rFonts w:ascii="Courier New" w:hAnsi="Courier New" w:eastAsia="Courier New"/>
          <w:b w:val="0"/>
          <w:color w:val="000000"/>
          <w:sz w:val="20"/>
        </w:rPr>
        <w:t>ISkinStore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La procedencia de las imágenes se indica en </w:t>
      </w:r>
      <w:r>
        <w:rPr>
          <w:rFonts w:ascii="Courier New" w:hAnsi="Courier New" w:eastAsia="Courier New"/>
          <w:b w:val="0"/>
          <w:color w:val="000000"/>
          <w:sz w:val="20"/>
        </w:rPr>
        <w:t>CREDITS.md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skin nueva no toca código (Open/Closed llevado a datos). El catálogo incluye Clásico, Staunton, Medieval y Cubos. Cubos recupera las piezas de la antigua skin Minecraft, con su procedencia identificada en los créditos. </w:t>
      </w:r>
      <w:r>
        <w:rPr>
          <w:rFonts w:ascii="Courier New" w:hAnsi="Courier New" w:eastAsia="Courier New"/>
          <w:b w:val="0"/>
          <w:color w:val="000000"/>
          <w:sz w:val="20"/>
        </w:rPr>
        <w:t>SkinTests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comprueba que estén las doce imágenes de cada skin y que Cubos se desbloquee con 30 puntos.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skins necesitaran comportamiento propio (animaciones, sonidos), un archivo de datos no alcanzaría y cada una sería una clase.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18.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(y los de usuarios en </w:t>
      </w:r>
      <w:r>
        <w:rPr>
          <w:rFonts w:ascii="Courier New" w:hAnsi="Courier New" w:eastAsia="Courier New"/>
          <w:b w:val="0"/>
          <w:color w:val="000000"/>
          <w:sz w:val="20"/>
        </w:rPr>
        <w:t>AccountTests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un almacén en memoria como fake),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 Afuera del núcleo hay tests de integración de los adaptadores: </w:t>
      </w:r>
      <w:r>
        <w:rPr>
          <w:rFonts w:ascii="Courier New" w:hAnsi="Courier New" w:eastAsia="Courier New"/>
          <w:b w:val="0"/>
          <w:color w:val="000000"/>
          <w:sz w:val="20"/>
        </w:rPr>
        <w:t>SkinTests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scripts/SwingIntegrationTests.java</w:t>
      </w:r>
      <w:r>
        <w:rPr>
          <w:rFonts w:ascii="Times New Roman" w:hAnsi="Times New Roman" w:eastAsia="Times New Roman"/>
          <w:b w:val="0"/>
          <w:color w:val="000000"/>
          <w:sz w:val="24"/>
        </w:rPr>
        <w:t>, que maneja la ventana real (pirámide de testing: muchos unitarios, menos de integración y uno de sistema).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19. Simplificaciones declaradas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repetición de posición ignora los derechos de enroque y de captura al paso.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simulación de captura al paso no retira el peón capturado: puede permitir un jaque descubierto horizontal y también rechazar una captura que eliminaría al peón que da jaque.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de la IA no conserva el historial: puede evaluar de forma imprecisa el enroque, la captura al paso y las tablas por repetición o por 50 movimientos. La jugada final se filtra contra las jugadas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IA, en la consola y en la ventana.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