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ABF1A" w14:textId="22F8C3B0" w:rsidR="00EC2637" w:rsidRPr="00B66E9A" w:rsidRDefault="00B66E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6E9A">
        <w:rPr>
          <w:rFonts w:ascii="Times New Roman" w:hAnsi="Times New Roman" w:cs="Times New Roman"/>
          <w:b/>
          <w:bCs/>
          <w:sz w:val="24"/>
          <w:szCs w:val="24"/>
        </w:rPr>
        <w:t>Q1) Analytical modelling of the inductor</w:t>
      </w:r>
    </w:p>
    <w:p w14:paraId="7DF9BE18" w14:textId="432D8954" w:rsidR="00B66E9A" w:rsidRDefault="00B66E9A" w:rsidP="00B66E9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Calculation of reluctance for initial permeability:</w:t>
      </w:r>
    </w:p>
    <w:p w14:paraId="44FA25FF" w14:textId="5548164F" w:rsidR="00B66E9A" w:rsidRDefault="00B66E9A" w:rsidP="00B66E9A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assume that there is no DC bias in the core and permeability is constant. </w:t>
      </w:r>
      <w:r w:rsidR="00F803E2">
        <w:rPr>
          <w:rFonts w:ascii="Times New Roman" w:hAnsi="Times New Roman" w:cs="Times New Roman"/>
          <w:sz w:val="24"/>
          <w:szCs w:val="24"/>
        </w:rPr>
        <w:t>Initial permeability of the core is 40. Reluctance can be calculated as,</w:t>
      </w:r>
    </w:p>
    <w:p w14:paraId="498CA698" w14:textId="7CA9C2DF" w:rsidR="00F803E2" w:rsidRPr="00F803E2" w:rsidRDefault="00F803E2" w:rsidP="00B66E9A">
      <w:pPr>
        <w:pStyle w:val="ListeParagraf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=1.35*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</m:t>
              </m:r>
            </m:sup>
          </m:sSup>
        </m:oMath>
      </m:oMathPara>
    </w:p>
    <w:p w14:paraId="26F2497A" w14:textId="10AA1481" w:rsidR="00F803E2" w:rsidRDefault="00F803E2" w:rsidP="00B66E9A">
      <w:pPr>
        <w:pStyle w:val="ListeParagraf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3768DA">
        <w:rPr>
          <w:rFonts w:ascii="Times New Roman" w:eastAsiaTheme="minorEastAsia" w:hAnsi="Times New Roman" w:cs="Times New Roman"/>
          <w:sz w:val="24"/>
          <w:szCs w:val="24"/>
        </w:rPr>
        <w:t xml:space="preserve"> Mean length of the core = 243 mm</w:t>
      </w:r>
    </w:p>
    <w:p w14:paraId="67E15DF2" w14:textId="0A5B5D50" w:rsidR="003768DA" w:rsidRDefault="003768DA" w:rsidP="00B66E9A">
      <w:pPr>
        <w:pStyle w:val="ListeParagraf"/>
        <w:rPr>
          <w:rFonts w:ascii="Times New Roman" w:hAnsi="Times New Roman" w:cs="Times New Roman"/>
          <w:sz w:val="24"/>
          <w:szCs w:val="24"/>
          <w:vertAlign w:val="superscript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Cross section of the core = 358 mm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6E17768A" w14:textId="152B79FB" w:rsidR="003768DA" w:rsidRDefault="003768DA" w:rsidP="00B66E9A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3FF350C0" w14:textId="6BEE43E8" w:rsidR="003768DA" w:rsidRDefault="002A222D" w:rsidP="002A222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250µH inductance the required number of turns is calculated as below. In the calculation </w:t>
      </w:r>
      <w:r w:rsidR="00A37577">
        <w:rPr>
          <w:rFonts w:ascii="Times New Roman" w:hAnsi="Times New Roman" w:cs="Times New Roman"/>
          <w:sz w:val="24"/>
          <w:szCs w:val="24"/>
        </w:rPr>
        <w:t xml:space="preserve">constant permeability is assumed as in part-a. Also, all flux is assumed to travel in the core and there is no fringing flux. </w:t>
      </w:r>
    </w:p>
    <w:p w14:paraId="0BF1A29D" w14:textId="2EB01830" w:rsidR="00A37577" w:rsidRDefault="00A37577" w:rsidP="00A37577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10FB7E9C" w14:textId="408941D2" w:rsidR="00162B57" w:rsidRPr="007C49B6" w:rsidRDefault="00162B57" w:rsidP="00162B57">
      <w:pPr>
        <w:pStyle w:val="ListeParagraf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min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N=59</m:t>
          </m:r>
        </m:oMath>
      </m:oMathPara>
    </w:p>
    <w:p w14:paraId="6CAEFD23" w14:textId="77777777" w:rsidR="007C49B6" w:rsidRPr="007C49B6" w:rsidRDefault="007C49B6" w:rsidP="00162B57">
      <w:pPr>
        <w:pStyle w:val="ListeParagraf"/>
        <w:rPr>
          <w:rFonts w:ascii="Times New Roman" w:eastAsiaTheme="minorEastAsia" w:hAnsi="Times New Roman" w:cs="Times New Roman"/>
          <w:sz w:val="24"/>
          <w:szCs w:val="24"/>
        </w:rPr>
      </w:pPr>
    </w:p>
    <w:p w14:paraId="4FAE1F3D" w14:textId="7ADA07A0" w:rsidR="00E74FE1" w:rsidRPr="00E74FE1" w:rsidRDefault="007C49B6" w:rsidP="00E74FE1">
      <w:pPr>
        <w:pStyle w:val="ListeParagraf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improved inductance calculation, fringing flux should also be included. Fringing flux introduces additional parallel flux path. Then </w:t>
      </w:r>
      <w:r w:rsidR="00E74FE1">
        <w:rPr>
          <w:rFonts w:ascii="Times New Roman" w:eastAsiaTheme="minorEastAsia" w:hAnsi="Times New Roman" w:cs="Times New Roman"/>
          <w:sz w:val="24"/>
          <w:szCs w:val="24"/>
        </w:rPr>
        <w:t xml:space="preserve">effective reluctance decreases which increases the inductance. Moreover, in the above calculations, homogeneous flux distribution is assumed in the core which is non-realistic. Flux tries to flow in the shortest path so </w:t>
      </w:r>
      <w:r w:rsidR="00346EE4">
        <w:rPr>
          <w:rFonts w:ascii="Times New Roman" w:eastAsiaTheme="minorEastAsia" w:hAnsi="Times New Roman" w:cs="Times New Roman"/>
          <w:sz w:val="24"/>
          <w:szCs w:val="24"/>
        </w:rPr>
        <w:t>flux distribution is larger in the inner path. FEA modelling improves the inductance</w:t>
      </w:r>
      <w:r w:rsidR="00B62170">
        <w:rPr>
          <w:rFonts w:ascii="Times New Roman" w:eastAsiaTheme="minorEastAsia" w:hAnsi="Times New Roman" w:cs="Times New Roman"/>
          <w:sz w:val="24"/>
          <w:szCs w:val="24"/>
        </w:rPr>
        <w:t xml:space="preserve"> calculation.</w:t>
      </w:r>
    </w:p>
    <w:sectPr w:rsidR="00E74FE1" w:rsidRPr="00E74FE1" w:rsidSect="00BE37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15ADB"/>
    <w:multiLevelType w:val="hybridMultilevel"/>
    <w:tmpl w:val="E626D2F4"/>
    <w:lvl w:ilvl="0" w:tplc="6F4047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755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BE"/>
    <w:rsid w:val="00024FA9"/>
    <w:rsid w:val="00162B57"/>
    <w:rsid w:val="002A222D"/>
    <w:rsid w:val="00346EE4"/>
    <w:rsid w:val="003768DA"/>
    <w:rsid w:val="007C49B6"/>
    <w:rsid w:val="00A177BE"/>
    <w:rsid w:val="00A37577"/>
    <w:rsid w:val="00B62170"/>
    <w:rsid w:val="00B66E9A"/>
    <w:rsid w:val="00BE3750"/>
    <w:rsid w:val="00E74FE1"/>
    <w:rsid w:val="00EC2637"/>
    <w:rsid w:val="00F170B9"/>
    <w:rsid w:val="00F8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7EE8F"/>
  <w15:chartTrackingRefBased/>
  <w15:docId w15:val="{C473F7C9-8204-499E-B732-519B56754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66E9A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F803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Ogün Altun</dc:creator>
  <cp:keywords/>
  <dc:description/>
  <cp:lastModifiedBy>Ogün Altun</cp:lastModifiedBy>
  <cp:revision>3</cp:revision>
  <dcterms:created xsi:type="dcterms:W3CDTF">2022-04-13T19:30:00Z</dcterms:created>
  <dcterms:modified xsi:type="dcterms:W3CDTF">2022-04-13T20:16:00Z</dcterms:modified>
</cp:coreProperties>
</file>