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8164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sz w:val="48"/>
              </w:rPr>
              <w:t>HTIN LINN</w:t>
            </w:r>
          </w:p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30"/>
              </w:rPr>
              <w:t>Software Engineer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Burmese | Bangkok, Thailand | +66 65 556 6035 | </w:t>
            </w:r>
            <w:hyperlink r:id="rId9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htinlinn.dev.03@gmail.com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0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LinkedIn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1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GitHub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2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Portfolio</w:t>
              </w:r>
            </w:hyperlink>
          </w:p>
        </w:tc>
        <w:tc>
          <w:tcPr>
            <w:tcW w:type="dxa" w:w="170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building the runtime AI agents run on: an agent supervisor, a reasoning service and agent memory, in Rust, Go and Python. Previously shipped production Python microservices and AI/LLM integrations, with a focus on automated testing, CI/CD and reliable API design.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Rust, Go, TypeScript/JavaScript,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running each agent as an isolated, credentialed process, and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Judges) that lifted benchmark accuracy ~20% over direct LLM calls.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8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eneralmagickindustries.com/" TargetMode="External"/><Relationship Id="rId15" Type="http://schemas.openxmlformats.org/officeDocument/2006/relationships/hyperlink" Target="https://magickmind.ai/" TargetMode="External"/><Relationship Id="rId16" Type="http://schemas.openxmlformats.org/officeDocument/2006/relationships/hyperlink" Target="https://www.brillar.io/" TargetMode="External"/><Relationship Id="rId17" Type="http://schemas.openxmlformats.org/officeDocument/2006/relationships/hyperlink" Target="https://www.atenxion.ai/" TargetMode="External"/><Relationship Id="rId18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