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shipping production code across backend, frontend, data and ops, in Rust, Go, Python and TypeScript. I build and operate the runtime AI agents run on: an agent supervisor, a reasoning service and agent memory, on Kubernetes with CI/CD, tests and observability. Comfortable in unfamiliar codebases (17 services, four languages), and I write things down so the next team can reuse them.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Bangkok, Thailand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 in Rust: it mints per-agent credentials, runs one isolated process per agent and enforces a </w:t>
      </w:r>
      <w:r>
        <w:rPr>
          <w:rFonts w:ascii="Times New Roman" w:hAnsi="Times New Roman" w:eastAsia="Times New Roman"/>
          <w:b/>
          <w:i w:val="0"/>
        </w:rPr>
        <w:t>tenant boundary</w:t>
      </w:r>
      <w:r>
        <w:rPr>
          <w:rFonts w:ascii="Times New Roman" w:hAnsi="Times New Roman" w:eastAsia="Times New Roman"/>
          <w:b w:val="0"/>
          <w:i w:val="0"/>
        </w:rPr>
        <w:t xml:space="preserve"> on every request. Agents join workspaces as participants, so several share a room and every message is attributed.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 (Go), reasoning service (Python) and runtime (Rust), through an OpenAI-compatible route with request-size caps and host validation on user-supplied URLs.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Reused and extended building blocks: Mindroid, the company's open-source Rust agent SDK, is the generic runtime and the supervisor the product layer; generic stages and tools go back into the SDK.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Implemented and benchmarked reasoning strategies (RLM, Lambda-RLM, Mixture of Judges, MCTS): </w:t>
      </w:r>
      <w:r>
        <w:rPr>
          <w:rFonts w:ascii="Times New Roman" w:hAnsi="Times New Roman" w:eastAsia="Times New Roman"/>
          <w:b/>
          <w:i w:val="0"/>
        </w:rPr>
        <w:t>22–34 points</w:t>
      </w:r>
      <w:r>
        <w:rPr>
          <w:rFonts w:ascii="Times New Roman" w:hAnsi="Times New Roman" w:eastAsia="Times New Roman"/>
          <w:b w:val="0"/>
          <w:i w:val="0"/>
        </w:rPr>
        <w:t xml:space="preserve"> above a direct call on GPQA with the same model. Cut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 xml:space="preserve"> and fast-path latency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three production services; wrote the case studies and diagrams that explain the runtime to non-engineers.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Full-time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</w:t>
      </w:r>
      <w:r>
        <w:rPr>
          <w:rFonts w:ascii="Times New Roman" w:hAnsi="Times New Roman" w:eastAsia="Times New Roman"/>
          <w:b/>
          <w:i w:val="0"/>
        </w:rPr>
        <w:t>Google ADK</w:t>
      </w:r>
      <w:r>
        <w:rPr>
          <w:rFonts w:ascii="Times New Roman" w:hAnsi="Times New Roman" w:eastAsia="Times New Roman"/>
          <w:b w:val="0"/>
          <w:i w:val="0"/>
        </w:rPr>
        <w:t xml:space="preserve"> multi-agent workflow platform, the CRM integration service (Zoho, SalesIQ, Chatwoot, Zendesk) and RAG retrieval over Crawl4AI and Docling.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Owned two FastAPI services end to end: build and startup time down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>, OpenTelemetry and Grafana, pytest in pre-commit hooks.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EARLIER 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Full-time Aug 2024 - May 2025, part-time to Dec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restaurant ordering system (order time down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) and Shopee inventory sync.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Rust, Go, TypeScript/JavaScript, Java, C#, Bash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 stack: </w:t>
      </w:r>
      <w:r>
        <w:rPr>
          <w:rFonts w:ascii="Times New Roman" w:hAnsi="Times New Roman" w:eastAsia="Times New Roman"/>
          <w:b w:val="0"/>
          <w:i w:val="0"/>
        </w:rPr>
        <w:t>LLM APIs (OpenAI, Gemini, Claude), agent runtimes, tool calling, Google ADK, RAG, MCP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data: </w:t>
      </w:r>
      <w:r>
        <w:rPr>
          <w:rFonts w:ascii="Times New Roman" w:hAnsi="Times New Roman" w:eastAsia="Times New Roman"/>
          <w:b w:val="0"/>
          <w:i w:val="0"/>
        </w:rPr>
        <w:t>FastAPI, gRPC/Protobuf, REST, SQL (PostgreSQL, MySQL), MongoDB, Redis, RabbitMQ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Frontend: </w:t>
      </w:r>
      <w:r>
        <w:rPr>
          <w:rFonts w:ascii="Times New Roman" w:hAnsi="Times New Roman" w:eastAsia="Times New Roman"/>
          <w:b w:val="0"/>
          <w:i w:val="0"/>
        </w:rPr>
        <w:t>React, Next.js, Tailwind, TypeScript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Ops &amp; security: </w:t>
      </w:r>
      <w:r>
        <w:rPr>
          <w:rFonts w:ascii="Times New Roman" w:hAnsi="Times New Roman" w:eastAsia="Times New Roman"/>
          <w:b w:val="0"/>
          <w:i w:val="0"/>
        </w:rPr>
        <w:t>Docker, Kubernetes, GitHub Actions, OpenTelemetry, Grafana, pytest, SonarQube gates; per-service credentials, tenant isolation, host validation, CVE remediation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