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color w:val="auto"/>
          <w:sz w:val="48"/>
          <w:szCs w:val="48"/>
          <w:lang w:val="en-US" w:eastAsia="zh-CN"/>
        </w:rPr>
      </w:pPr>
      <w:r>
        <w:rPr>
          <w:rFonts w:hint="eastAsia"/>
          <w:color w:val="auto"/>
          <w:sz w:val="48"/>
          <w:szCs w:val="48"/>
          <w:lang w:val="en-US" w:eastAsia="zh-CN"/>
        </w:rPr>
        <w:t>学习周报</w:t>
      </w:r>
      <w:bookmarkStart w:id="3" w:name="_GoBack"/>
      <w:bookmarkEnd w:id="3"/>
    </w:p>
    <w:p>
      <w:pPr>
        <w:jc w:val="righ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张天照（7.19-7.25）</w:t>
      </w:r>
    </w:p>
    <w:p>
      <w:pPr>
        <w:numPr>
          <w:ilvl w:val="0"/>
          <w:numId w:val="1"/>
        </w:num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继续进行资产证券化的学习</w:t>
      </w: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开始了解供应链ABS，对供应链ABS通过实习过程逐渐深入学习。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 xml:space="preserve"> 什么是供应链ABS？</w:t>
      </w:r>
      <w:r>
        <w:rPr>
          <w:color w:val="auto"/>
          <w:sz w:val="24"/>
          <w:szCs w:val="24"/>
        </w:rPr>
        <w:t>供应链ABS是围绕核心企业，以应收账款为基础资产，为上下游企业提供融资的资产证券化产品。交易结构的核心是应收账款的反向保理。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>供应链ABS为何受房企追捧？一是</w:t>
      </w:r>
      <w:r>
        <w:rPr>
          <w:color w:val="auto"/>
          <w:sz w:val="24"/>
          <w:szCs w:val="24"/>
        </w:rPr>
        <w:t>供应链ABS对应收账款到期日进行标准化，可延长账期；</w:t>
      </w:r>
      <w:r>
        <w:rPr>
          <w:rStyle w:val="5"/>
          <w:color w:val="auto"/>
          <w:sz w:val="24"/>
          <w:szCs w:val="24"/>
        </w:rPr>
        <w:t>二是</w:t>
      </w:r>
      <w:r>
        <w:rPr>
          <w:color w:val="auto"/>
          <w:sz w:val="24"/>
          <w:szCs w:val="24"/>
        </w:rPr>
        <w:t>供应链ABS在资产负债表上表现为应付账款，有利于有息负债率的降低，且不占用发债额度；</w:t>
      </w:r>
      <w:r>
        <w:rPr>
          <w:rStyle w:val="5"/>
          <w:color w:val="auto"/>
          <w:sz w:val="24"/>
          <w:szCs w:val="24"/>
        </w:rPr>
        <w:t>三是</w:t>
      </w:r>
      <w:r>
        <w:rPr>
          <w:color w:val="auto"/>
          <w:sz w:val="24"/>
          <w:szCs w:val="24"/>
        </w:rPr>
        <w:t>应收账款科目做大部分计入建安成本，可部分节约土地增值税。</w:t>
      </w:r>
      <w:r>
        <w:rPr>
          <w:rStyle w:val="5"/>
          <w:color w:val="auto"/>
          <w:sz w:val="24"/>
          <w:szCs w:val="24"/>
        </w:rPr>
        <w:t>同时，2016Q4以来房地产融资收紧加速融资需求向供应链ABS转移，</w:t>
      </w:r>
      <w:r>
        <w:rPr>
          <w:color w:val="auto"/>
          <w:sz w:val="24"/>
          <w:szCs w:val="24"/>
        </w:rPr>
        <w:t>2020年1-3月，供应链ABS占地产债发行总额的比重达到28.0%。目前房地产供应链ABS尚未出现过违约。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 xml:space="preserve"> 如何统计房地产供应链ABS？</w:t>
      </w:r>
      <w:r>
        <w:rPr>
          <w:color w:val="auto"/>
          <w:sz w:val="24"/>
          <w:szCs w:val="24"/>
        </w:rPr>
        <w:t>供应链ABS的原始权益人为保理公司，最终债务人的识别存在困难。我们通过两个途径识别，一是在项目全称中检索房企简称；二是采用基于募集说明书、媒体新闻等归纳的“房企供应链ABS简称表”进行检索。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 xml:space="preserve"> 存量房地产供应链ABS有何特点？（1）</w:t>
      </w:r>
      <w:r>
        <w:rPr>
          <w:color w:val="auto"/>
          <w:sz w:val="24"/>
          <w:szCs w:val="24"/>
        </w:rPr>
        <w:t>9-12个月为主流期限，占比79.0%；</w:t>
      </w:r>
      <w:r>
        <w:rPr>
          <w:rStyle w:val="5"/>
          <w:color w:val="auto"/>
          <w:sz w:val="24"/>
          <w:szCs w:val="24"/>
        </w:rPr>
        <w:t>（2）</w:t>
      </w:r>
      <w:r>
        <w:rPr>
          <w:color w:val="auto"/>
          <w:sz w:val="24"/>
          <w:szCs w:val="24"/>
        </w:rPr>
        <w:t>最终债务人评级多为AAA，占比81.8%；</w:t>
      </w:r>
      <w:r>
        <w:rPr>
          <w:rStyle w:val="5"/>
          <w:color w:val="auto"/>
          <w:sz w:val="24"/>
          <w:szCs w:val="24"/>
        </w:rPr>
        <w:t>（3）</w:t>
      </w:r>
      <w:r>
        <w:rPr>
          <w:color w:val="auto"/>
          <w:sz w:val="24"/>
          <w:szCs w:val="24"/>
        </w:rPr>
        <w:t>最终债务人集中于头部房企，TOP10房企份额达58.0%；</w:t>
      </w:r>
      <w:r>
        <w:rPr>
          <w:rStyle w:val="5"/>
          <w:color w:val="auto"/>
          <w:sz w:val="24"/>
          <w:szCs w:val="24"/>
        </w:rPr>
        <w:t>（4）</w:t>
      </w:r>
      <w:r>
        <w:rPr>
          <w:color w:val="auto"/>
          <w:sz w:val="24"/>
          <w:szCs w:val="24"/>
        </w:rPr>
        <w:t>证监会主管ABS为主流券种，ABN占比仅5.3%；</w:t>
      </w:r>
      <w:r>
        <w:rPr>
          <w:rStyle w:val="5"/>
          <w:color w:val="auto"/>
          <w:sz w:val="24"/>
          <w:szCs w:val="24"/>
        </w:rPr>
        <w:t>（5）</w:t>
      </w:r>
      <w:r>
        <w:rPr>
          <w:color w:val="auto"/>
          <w:sz w:val="24"/>
          <w:szCs w:val="24"/>
        </w:rPr>
        <w:t>95%以上的项目采取优先/次级分层设计，但次级层余额占比占比仅1.0%。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 xml:space="preserve"> 哪些房企存量供应链ABS较多？</w:t>
      </w:r>
      <w:r>
        <w:rPr>
          <w:color w:val="auto"/>
          <w:sz w:val="24"/>
          <w:szCs w:val="24"/>
        </w:rPr>
        <w:t>存量供应链ABS余额在90亿以上的房企有5家，为万科、碧桂园、龙湖、世茂和恒大，存量分别为326.5、154.0、123.5、99.6、99.1亿元；此外绿城、中骏、华发等存量余额也较高，在50-90亿之间。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>今年房地产供应链ABS发行有哪些变化？一是供应链ABS对房企融资的贡献度继续上升，</w:t>
      </w:r>
      <w:r>
        <w:rPr>
          <w:color w:val="auto"/>
          <w:sz w:val="24"/>
          <w:szCs w:val="24"/>
        </w:rPr>
        <w:t>2020年1-3月地产供应链ABS发行额占地产ABS的比重达到79.3%；</w:t>
      </w:r>
      <w:r>
        <w:rPr>
          <w:rStyle w:val="5"/>
          <w:color w:val="auto"/>
          <w:sz w:val="24"/>
          <w:szCs w:val="24"/>
        </w:rPr>
        <w:t>二是发行利率明显下行</w:t>
      </w:r>
      <w:r>
        <w:rPr>
          <w:color w:val="auto"/>
          <w:sz w:val="24"/>
          <w:szCs w:val="24"/>
        </w:rPr>
        <w:t>，2020年已发行供应链ABS的样本房企，89%利率相比2019年回落。近半数房企发行利率回落幅度在50BP以上，其中禹洲、中骏、时代、旭辉和奥园平均发行利率回落幅度在100bp以上，龙光、金科、碧桂园、美的、金茂、阳光城、世茂、华发等回落幅度在50-100bp之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 xml:space="preserve"> 风险提示：数据统计不完整、房地产调控超预期等。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rStyle w:val="5"/>
          <w:color w:val="auto"/>
          <w:sz w:val="24"/>
          <w:szCs w:val="24"/>
        </w:rPr>
        <w:t>供应链ABS是围绕核心企业，以应收账款为基础资产，为上下游企业提供融资的资产证券化产品。</w:t>
      </w:r>
      <w:r>
        <w:rPr>
          <w:color w:val="auto"/>
          <w:sz w:val="24"/>
          <w:szCs w:val="24"/>
        </w:rPr>
        <w:t>相对于核心企业，部分上游供应商为中小企业，议价能力弱，为保持与核心企业长期稳定的合作关系，往往采取赊销的交易方式，形成大量应收账款。同时，上游供应商的应收账款为核心企业的经营负债，体现核心企业的信用。供应链ABS通过“1+N”模式（最终付款方为1家核心企业，融资方为多家上游供应商），改善上游中小企业融资时资质不足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中国资产证券化产品主要包括银保监会主管的信贷ABS、证监会主管的企业ABS、交易商协会主管的ABN，其中信贷ABS基础资产为信贷，发行主体主要为金融机构，不作为本文研究对象。本文所述ABS包括证监会主管企业ABS和交易商协会主管ABN。</w:t>
      </w:r>
    </w:p>
    <w:p>
      <w:pPr>
        <w:pStyle w:val="2"/>
        <w:keepNext w:val="0"/>
        <w:keepLines w:val="0"/>
        <w:widowControl/>
        <w:suppressLineNumbers w:val="0"/>
        <w:pBdr>
          <w:top w:val="none" w:color="021897" w:sz="0" w:space="0"/>
          <w:left w:val="none" w:color="021897" w:sz="0" w:space="0"/>
          <w:bottom w:val="single" w:color="021897" w:sz="12" w:space="0"/>
          <w:right w:val="none" w:color="021897" w:sz="0" w:space="0"/>
        </w:pBdr>
        <w:spacing w:before="96" w:beforeAutospacing="0" w:after="0" w:afterAutospacing="0" w:line="336" w:lineRule="atLeast"/>
        <w:ind w:left="0" w:right="0"/>
        <w:rPr>
          <w:b/>
          <w:bCs/>
          <w:color w:val="021897"/>
          <w:sz w:val="24"/>
          <w:szCs w:val="24"/>
        </w:rPr>
      </w:pPr>
      <w:r>
        <w:rPr>
          <w:rStyle w:val="5"/>
          <w:color w:val="0A4090"/>
          <w:sz w:val="24"/>
          <w:szCs w:val="24"/>
        </w:rPr>
        <w:t>供应链ABS的交易结构？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rStyle w:val="5"/>
          <w:sz w:val="24"/>
          <w:szCs w:val="24"/>
        </w:rPr>
        <w:t>供应链ABS的核心为应收账款的反向保理，交易流程包括：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（1）上游供应商为核心企业或其下属公司提供商品或服务，形成应收账款；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（2）若债务人为核心企业下属公司，核心企业以债务加入成为共同债务人、提供差额支付承诺等方式将自身信用嵌入应付账款；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（3）核心企业指定的保理公司为上游供应商提供保理服务，受让应收账款债权，成为原始权益人，上游供应商提前收回应收账款；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（4）资产支持专项计划由管理人设立，向投资者募集资金；同时保理公司将归集的应收账款债权作为基础资产，转让给资产支持专项计划；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（5）产品到期日，债务人直接将其应付账款回款至资产支持专项计划账户。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6540" cy="2991485"/>
            <wp:effectExtent l="0" t="0" r="1270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接下来的过程会继续进行ABS的学习，并且阅读论文，将区块链与现在ABS的痛点相结合，用区块链解决ABS交易中的痛点。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以太坊的学习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1、了解以太坊单位，以太坊的钱包以及以太坊的公钥私钥和地址。</w:t>
      </w:r>
    </w:p>
    <w:p>
      <w:pPr>
        <w:pStyle w:val="6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</w:pPr>
      <w:bookmarkStart w:id="0" w:name="bookmark20"/>
      <w:bookmarkStart w:id="1" w:name="bookmark18"/>
      <w:bookmarkStart w:id="2" w:name="bookmark19"/>
      <w:r>
        <w:rPr>
          <w:rFonts w:hint="eastAsia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  <w:t>2、</w:t>
      </w:r>
      <w:r>
        <w:rPr>
          <w:b w:val="0"/>
          <w:bCs w:val="0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 xml:space="preserve">安装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MetaMask</w:t>
      </w:r>
      <w:bookmarkEnd w:id="0"/>
      <w:bookmarkEnd w:id="1"/>
      <w:bookmarkEnd w:id="2"/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left="1040" w:right="0" w:firstLine="0"/>
        <w:jc w:val="left"/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</w:pP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CN" w:bidi="zh-TW"/>
        </w:rPr>
      </w:pPr>
      <w:r>
        <w:drawing>
          <wp:anchor distT="25400" distB="0" distL="0" distR="0" simplePos="0" relativeHeight="251659264" behindDoc="0" locked="0" layoutInCell="1" allowOverlap="1">
            <wp:simplePos x="0" y="0"/>
            <wp:positionH relativeFrom="page">
              <wp:posOffset>1522095</wp:posOffset>
            </wp:positionH>
            <wp:positionV relativeFrom="paragraph">
              <wp:posOffset>989965</wp:posOffset>
            </wp:positionV>
            <wp:extent cx="2331085" cy="1561465"/>
            <wp:effectExtent l="0" t="0" r="635" b="8255"/>
            <wp:wrapTopAndBottom/>
            <wp:docPr id="26" name="Shap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hap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25400" distB="0" distL="0" distR="0" simplePos="0" relativeHeight="251659264" behindDoc="0" locked="0" layoutInCell="1" allowOverlap="1">
            <wp:simplePos x="0" y="0"/>
            <wp:positionH relativeFrom="page">
              <wp:posOffset>4446905</wp:posOffset>
            </wp:positionH>
            <wp:positionV relativeFrom="paragraph">
              <wp:posOffset>945515</wp:posOffset>
            </wp:positionV>
            <wp:extent cx="3298825" cy="1586230"/>
            <wp:effectExtent l="0" t="0" r="8255" b="13970"/>
            <wp:wrapTopAndBottom/>
            <wp:docPr id="28" name="Shap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hap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•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安装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MetaMask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后，应该在浏览器的工具栏中看到一个新图标（狐狸头）。点击它开 始。系统设置密码后，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MetaMask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将生成一个钱包，并显示由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12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个英文单词组成的助记符备份。如果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MetaMask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>或计算机出现问题，导致无法打开钱包，我们可以在任何兼容 的钱包中使用这些单词来恢复对资金的访问</w:t>
      </w: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CN" w:bidi="zh-TW"/>
        </w:rPr>
        <w:t>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zh-TW" w:eastAsia="zh-CN" w:bidi="zh-TW"/>
        </w:rPr>
      </w:pP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</w:pP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  <w:t>接下来的计划：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</w:pP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</w:pP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  <w:t>继续深入学习ABS与区块链的结合，深入学习以太坊的相关知识。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4"/>
        </w:tabs>
        <w:bidi w:val="0"/>
        <w:spacing w:before="0" w:after="0" w:line="451" w:lineRule="exact"/>
        <w:ind w:right="0"/>
        <w:jc w:val="left"/>
        <w:rPr>
          <w:rFonts w:hint="default" w:ascii="宋体" w:hAnsi="宋体" w:eastAsia="宋体" w:cs="宋体"/>
          <w:color w:val="000000"/>
          <w:spacing w:val="0"/>
          <w:w w:val="100"/>
          <w:position w:val="0"/>
          <w:sz w:val="24"/>
          <w:szCs w:val="24"/>
          <w:lang w:val="en-US" w:eastAsia="zh-CN" w:bidi="zh-TW"/>
        </w:rPr>
        <w:sectPr>
          <w:footnotePr>
            <w:numFmt w:val="decimal"/>
          </w:footnotePr>
          <w:pgSz w:w="14410" w:h="8122" w:orient="landscape"/>
          <w:pgMar w:top="773" w:right="2491" w:bottom="269" w:left="1670" w:header="0" w:footer="3" w:gutter="0"/>
          <w:cols w:space="720" w:num="1"/>
          <w:rtlGutter w:val="0"/>
          <w:docGrid w:linePitch="360" w:charSpace="0"/>
        </w:sect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color w:val="auto"/>
          <w:sz w:val="24"/>
          <w:szCs w:val="24"/>
        </w:rPr>
        <w:t>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1CF7C"/>
    <w:multiLevelType w:val="singleLevel"/>
    <w:tmpl w:val="B841CF7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600F0"/>
    <w:rsid w:val="2C073F03"/>
    <w:rsid w:val="5DE63B46"/>
    <w:rsid w:val="73A6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Heading #1|1"/>
    <w:basedOn w:val="1"/>
    <w:qFormat/>
    <w:uiPriority w:val="0"/>
    <w:pPr>
      <w:widowControl w:val="0"/>
      <w:shd w:val="clear" w:color="auto" w:fill="auto"/>
      <w:spacing w:before="2080" w:after="220"/>
      <w:jc w:val="center"/>
      <w:outlineLvl w:val="0"/>
    </w:pPr>
    <w:rPr>
      <w:rFonts w:ascii="宋体" w:hAnsi="宋体" w:eastAsia="宋体" w:cs="宋体"/>
      <w:sz w:val="74"/>
      <w:szCs w:val="74"/>
      <w:u w:val="none"/>
      <w:shd w:val="clear" w:color="auto" w:fill="auto"/>
    </w:rPr>
  </w:style>
  <w:style w:type="paragraph" w:customStyle="1" w:styleId="7">
    <w:name w:val="Other|1"/>
    <w:basedOn w:val="1"/>
    <w:uiPriority w:val="0"/>
    <w:pPr>
      <w:widowControl w:val="0"/>
      <w:shd w:val="clear" w:color="auto" w:fill="auto"/>
    </w:pPr>
    <w:rPr>
      <w:color w:val="675C65"/>
      <w:u w:val="none"/>
      <w:shd w:val="clear" w:color="auto" w:fil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2021-07-26T06:58:00Z</dcterms:created>
  <dc:creator>Spoon。</dc:creator>
  <cp:lastModifiedBy>Spoon。</cp:lastModifiedBy>
  <dcterms:modified xsi:type="dcterms:W3CDTF">2021-07-26T07:08:42Z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3C35CA568F1A4A66B1633604B75B9B13</vt:lpwstr>
  </property>
</Properties>
</file>