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80" w:before="180" w:lineRule="auto"/>
        <w:rPr>
          <w:rFonts w:ascii="Inter" w:cs="Inter" w:eastAsia="Inter" w:hAnsi="Inter"/>
        </w:rPr>
      </w:pPr>
      <w:bookmarkStart w:colFirst="0" w:colLast="0" w:name="_heading=h.1s8qoor85dz0" w:id="0"/>
      <w:bookmarkEnd w:id="0"/>
      <w:r w:rsidDel="00000000" w:rsidR="00000000" w:rsidRPr="00000000">
        <w:rPr>
          <w:rFonts w:ascii="Inter" w:cs="Inter" w:eastAsia="Inter" w:hAnsi="Inter"/>
          <w:color w:val="000000"/>
          <w:sz w:val="24"/>
          <w:szCs w:val="24"/>
          <w:rtl w:val="0"/>
        </w:rPr>
        <w:t xml:space="preserve">Problem Set 2: John Graunt</w:t>
        <w:tab/>
        <w:tab/>
        <w:tab/>
        <w:tab/>
        <w:tab/>
        <w:t xml:space="preserve">Name: ________________________</w:t>
        <w:br w:type="textWrapping"/>
        <w:t xml:space="preserve">TCE 265 — Spring 2026</w:t>
        <w:tab/>
        <w:tab/>
        <w:tab/>
        <w:tab/>
        <w:tab/>
        <w:tab/>
        <w:t xml:space="preserve">Name: ________________________</w:t>
        <w:br w:type="textWrapping"/>
        <w:t xml:space="preserve">30 points | Due: Mon, 3/2 at 11:59pm</w:t>
        <w:tab/>
        <w:tab/>
        <w:tab/>
        <w:tab/>
        <w:t xml:space="preserve">Name: 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(5 pts) Part 1: The Math — Comparing the Bills of Mortality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Purpose: Analyze historical data using the tool of your choice. Discover what patterns emerge when you compare a “normal” year to a plague year.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John Graunt analyzed London’s Bills of Mortality—weekly death records—and discovered patterns no one had noticed before. You’ll do the same.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Your data: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180" w:line="240" w:lineRule="auto"/>
        <w:ind w:left="720" w:right="0" w:hanging="360"/>
        <w:jc w:val="left"/>
        <w:rPr>
          <w:rFonts w:ascii="Inter" w:cs="Inter" w:eastAsia="Inter" w:hAnsi="Inter"/>
        </w:rPr>
      </w:pPr>
      <w:hyperlink r:id="rId7">
        <w:r w:rsidDel="00000000" w:rsidR="00000000" w:rsidRPr="00000000">
          <w:rPr>
            <w:rFonts w:ascii="Inter" w:cs="Inter" w:eastAsia="Inter" w:hAnsi="Inter"/>
            <w:i w:val="0"/>
            <w:iCs w:val="0"/>
            <w:smallCaps w:val="0"/>
            <w:strike w:val="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Bills of Mortality 1605-06</w:t>
        </w:r>
      </w:hyperlink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(lin</w:t>
      </w:r>
      <w:r w:rsidDel="00000000" w:rsidR="00000000" w:rsidRPr="00000000">
        <w:rPr>
          <w:rFonts w:ascii="Inter" w:cs="Inter" w:eastAsia="Inter" w:hAnsi="Inter"/>
          <w:rtl w:val="0"/>
        </w:rPr>
        <w:t xml:space="preserve">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beforeAutospacing="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sz w:val="24"/>
          <w:szCs w:val="24"/>
          <w:shd w:fill="auto" w:val="clear"/>
          <w:vertAlign w:val="baseline"/>
        </w:rPr>
      </w:pPr>
      <w:hyperlink r:id="rId8">
        <w:r w:rsidDel="00000000" w:rsidR="00000000" w:rsidRPr="00000000">
          <w:rPr>
            <w:rFonts w:ascii="Inter" w:cs="Inter" w:eastAsia="Inter" w:hAnsi="Inter"/>
            <w:i w:val="0"/>
            <w:iCs w:val="0"/>
            <w:smallCaps w:val="0"/>
            <w:strike w:val="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Bills of Mortality 1664-65</w:t>
        </w:r>
      </w:hyperlink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(link)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Your tool: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Choose ONE primary tool for your analysis: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180" w:line="240" w:lineRule="auto"/>
        <w:ind w:left="720" w:right="0" w:hanging="360"/>
        <w:jc w:val="left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GenAI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(Gemini, ChatGPT, Claude, or NotebookLM)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Desmos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hyperlink r:id="rId9">
        <w:r w:rsidDel="00000000" w:rsidR="00000000" w:rsidRPr="00000000">
          <w:rPr>
            <w:rFonts w:ascii="Inter" w:cs="Inter" w:eastAsia="Inter" w:hAnsi="Inter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https://www.desmos.com/calculator</w:t>
        </w:r>
      </w:hyperlink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beforeAutospacing="0" w:line="240" w:lineRule="auto"/>
        <w:ind w:left="720" w:right="0" w:hanging="360"/>
        <w:jc w:val="left"/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Google Sheets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Your deliverable: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2-3 minute video featuring all three triad members.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spacing w:after="0" w:lineRule="auto"/>
        <w:rPr>
          <w:rFonts w:ascii="Inter" w:cs="Inter" w:eastAsia="Inter" w:hAnsi="Inter"/>
          <w:color w:val="000000"/>
        </w:rPr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Video Requirements:</w:t>
      </w:r>
    </w:p>
    <w:p w:rsidR="00000000" w:rsidDel="00000000" w:rsidP="00000000" w:rsidRDefault="00000000" w:rsidRPr="00000000" w14:paraId="0000000E">
      <w:pPr>
        <w:rPr>
          <w:rFonts w:ascii="Inter" w:cs="Inter" w:eastAsia="Inter" w:hAnsi="Inter"/>
          <w:i w:val="1"/>
          <w:iCs w:val="1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rtl w:val="0"/>
        </w:rPr>
        <w:t xml:space="preserve">Your video should include individual(s) assuming the following roles in your clip (no more than 3 minutes):</w:t>
      </w:r>
      <w:r w:rsidDel="00000000" w:rsidR="00000000" w:rsidRPr="00000000">
        <w:rPr>
          <w:rtl w:val="0"/>
        </w:rPr>
      </w:r>
    </w:p>
    <w:tbl>
      <w:tblPr>
        <w:tblStyle w:val="Table1"/>
        <w:tblW w:w="10530.0" w:type="dxa"/>
        <w:jc w:val="left"/>
        <w:tblInd w:w="26.999999999999993" w:type="dxa"/>
        <w:tblLayout w:type="fixed"/>
        <w:tblLook w:val="0020"/>
      </w:tblPr>
      <w:tblGrid>
        <w:gridCol w:w="2925"/>
        <w:gridCol w:w="7605"/>
        <w:tblGridChange w:id="0">
          <w:tblGrid>
            <w:gridCol w:w="2925"/>
            <w:gridCol w:w="760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ccccc" w:val="clea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ccccc" w:val="clea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Responsibility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The Questioner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Poses the driving question(s), asks follow-ups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The Demonstrator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Shares screen, shows the data/tool in action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The Synthesizer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Summarizes findings, connects to bigger picture</w:t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In addition, to receive full credit, your group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video must: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18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Feature all three members (faces and/or voices)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Show the actual data comparison (1605-06 vs 1664-65)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Demonstrate your chosen tool in 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correct mathematical terminology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Explain what the tool helped you discover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beforeAutospacing="0" w:line="240" w:lineRule="auto"/>
        <w:ind w:left="720" w:right="0" w:hanging="360"/>
        <w:jc w:val="left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Not exceed 3 minutes in length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Paste your video link here: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______________________________</w:t>
      </w:r>
    </w:p>
    <w:p w:rsidR="00000000" w:rsidDel="00000000" w:rsidP="00000000" w:rsidRDefault="00000000" w:rsidRPr="00000000" w14:paraId="0000001F">
      <w:pPr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>
          <w:rFonts w:ascii="Inter" w:cs="Inter" w:eastAsia="Inter" w:hAnsi="Inter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(10 pts) Part 2: The Story — Research via NotebookLM (10 pts)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Purpose: Use AI-assisted research to go deeper than a quick Google search. Find the human story behind the math—details that would resonate with young learners.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Create a NotebookLM notebook and add these curated sources (available in our course materials)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18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John Graunt biography (Wikipedia)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Jay Walker TEDMED transcript (“Hidden Aspects of Death”)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“John Graunt on Causes of Death” (Graunt’s original analysis, 1662)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beforeAutospacing="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McGill biographical sketch (GrauntEoB.pdf) - Great Plague Documentary Viewing Guide</w:t>
      </w:r>
      <w:r w:rsidDel="00000000" w:rsidR="00000000" w:rsidRPr="00000000">
        <w:rPr>
          <w:rtl w:val="0"/>
        </w:rPr>
      </w:r>
    </w:p>
    <w:sdt>
      <w:sdtPr>
        <w:lock w:val="contentLocked"/>
        <w:id w:val="207789535"/>
        <w:tag w:val="goog_rdk_0"/>
      </w:sdtPr>
      <w:sdtContent>
        <w:tbl>
          <w:tblPr>
            <w:tblStyle w:val="Table2"/>
            <w:tblW w:w="108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0800"/>
            <w:tblGridChange w:id="0">
              <w:tblGrid>
                <w:gridCol w:w="1080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ff2cc" w:val="clear"/>
                <w:tcMar>
                  <w:top w:w="28.799999999999997" w:type="dxa"/>
                  <w:left w:w="28.799999999999997" w:type="dxa"/>
                  <w:bottom w:w="28.799999999999997" w:type="dxa"/>
                  <w:right w:w="28.799999999999997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spacing w:after="0" w:before="0" w:lineRule="auto"/>
                  <w:rPr>
                    <w:rFonts w:ascii="Inter" w:cs="Inter" w:eastAsia="Inter" w:hAnsi="Inter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Inter" w:cs="Inter" w:eastAsia="Inter" w:hAnsi="Inter"/>
                    <w:b w:val="1"/>
                    <w:bCs w:val="1"/>
                    <w:rtl w:val="0"/>
                  </w:rPr>
                  <w:t xml:space="preserve">You may add additional sources</w:t>
                </w:r>
                <w:r w:rsidDel="00000000" w:rsidR="00000000" w:rsidRPr="00000000">
                  <w:rPr>
                    <w:rFonts w:ascii="Inter" w:cs="Inter" w:eastAsia="Inter" w:hAnsi="Inter"/>
                    <w:rtl w:val="0"/>
                  </w:rPr>
                  <w:t xml:space="preserve"> to your notebook. If you do, they should be: (a) Peer-reviewed articles, or (b) Primary sources (e.g., original historical texts), or (c) Reputable journalism (major publications), Note any sources you added in Part 2c.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29">
      <w:pPr>
        <w:pStyle w:val="Heading3"/>
        <w:rPr>
          <w:rFonts w:ascii="Inter" w:cs="Inter" w:eastAsia="Inter" w:hAnsi="Inter"/>
          <w:b w:val="0"/>
          <w:bCs w:val="0"/>
          <w:color w:val="000000"/>
        </w:rPr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(a) Key Findings (~250-300 words) </w:t>
      </w:r>
      <w:r w:rsidDel="00000000" w:rsidR="00000000" w:rsidRPr="00000000">
        <w:rPr>
          <w:rFonts w:ascii="Inter" w:cs="Inter" w:eastAsia="Inter" w:hAnsi="Inter"/>
          <w:b w:val="0"/>
          <w:bCs w:val="0"/>
          <w:color w:val="000000"/>
          <w:rtl w:val="0"/>
        </w:rPr>
        <w:t xml:space="preserve">(4)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What are the most important things you learned about Graunt’s life, work, and impact?</w:t>
      </w:r>
    </w:p>
    <w:p w:rsidR="00000000" w:rsidDel="00000000" w:rsidP="00000000" w:rsidRDefault="00000000" w:rsidRPr="00000000" w14:paraId="0000002B">
      <w:pPr>
        <w:pStyle w:val="Heading3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3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rPr>
          <w:rFonts w:ascii="Inter" w:cs="Inter" w:eastAsia="Inter" w:hAnsi="Inter"/>
          <w:b w:val="0"/>
          <w:bCs w:val="0"/>
          <w:color w:val="000000"/>
        </w:rPr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(b) Surprising Quotes/Facts </w:t>
      </w:r>
      <w:r w:rsidDel="00000000" w:rsidR="00000000" w:rsidRPr="00000000">
        <w:rPr>
          <w:rFonts w:ascii="Inter" w:cs="Inter" w:eastAsia="Inter" w:hAnsi="Inter"/>
          <w:b w:val="0"/>
          <w:bCs w:val="0"/>
          <w:color w:val="000000"/>
          <w:rtl w:val="0"/>
        </w:rPr>
        <w:t xml:space="preserve">(3)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 2-3 items that surprised you or would hook young learners:</w:t>
      </w:r>
    </w:p>
    <w:p w:rsidR="00000000" w:rsidDel="00000000" w:rsidP="00000000" w:rsidRDefault="00000000" w:rsidRPr="00000000" w14:paraId="00000032">
      <w:pPr>
        <w:pStyle w:val="Heading3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3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rPr>
          <w:rFonts w:ascii="Inter" w:cs="Inter" w:eastAsia="Inter" w:hAnsi="Inter"/>
          <w:b w:val="0"/>
          <w:bCs w:val="0"/>
          <w:color w:val="000000"/>
        </w:rPr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(c) NotebookLM Reflection (~75-100 words) </w:t>
      </w:r>
      <w:r w:rsidDel="00000000" w:rsidR="00000000" w:rsidRPr="00000000">
        <w:rPr>
          <w:rFonts w:ascii="Inter" w:cs="Inter" w:eastAsia="Inter" w:hAnsi="Inter"/>
          <w:b w:val="0"/>
          <w:bCs w:val="0"/>
          <w:color w:val="000000"/>
          <w:rtl w:val="0"/>
        </w:rPr>
        <w:t xml:space="preserve">(3)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How did you use NotebookLM? What features helped? What didn’t work as expected? Did you add any sources? Which ones and why?</w:t>
      </w:r>
    </w:p>
    <w:p w:rsidR="00000000" w:rsidDel="00000000" w:rsidP="00000000" w:rsidRDefault="00000000" w:rsidRPr="00000000" w14:paraId="0000003A">
      <w:pPr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rPr>
          <w:rFonts w:ascii="Inter" w:cs="Inter" w:eastAsia="Inter" w:hAnsi="Inter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Part 3: The Teaching — 5 Classroom Ideas (10 pts)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Purpose: Generate creative, concrete ideas for bringing Graunt and data analysis into a math classroom. Quantity over perfection—you’re brainstorming, not lesson planning.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Brainstorm 5 teaching materials or experiences connecting Graunt and data analysis to grades 4-9 math. Choose </w:t>
      </w: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one idea from each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of the 5 categories below:</w:t>
      </w:r>
    </w:p>
    <w:tbl>
      <w:tblPr>
        <w:tblStyle w:val="Table3"/>
        <w:tblW w:w="7919.000000000001" w:type="dxa"/>
        <w:jc w:val="left"/>
        <w:tblInd w:w="-108.0" w:type="dxa"/>
        <w:tblLayout w:type="fixed"/>
        <w:tblLook w:val="0020"/>
      </w:tblPr>
      <w:tblGrid>
        <w:gridCol w:w="3443"/>
        <w:gridCol w:w="4476"/>
        <w:tblGridChange w:id="0">
          <w:tblGrid>
            <w:gridCol w:w="3443"/>
            <w:gridCol w:w="4476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Category</w:t>
            </w:r>
          </w:p>
        </w:tc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 Investigation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Students analyze real, messy, or historical data to find patterns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Compare &amp; Contrast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Side-by-side analysis of two data sets or time periods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Interactive Tech Activity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Sheets, Desmos, or AI-assisted data exploration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Cross-Curricular Link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Connects math to history, public health, or epidemiology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Discussion Prompt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Open question about what data can (and can’t) tell us</w:t>
            </w:r>
          </w:p>
        </w:tc>
      </w:tr>
    </w:tbl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each idea: category, brief description (~50-75 words), and target grade band (4-5, 6-7, or 8-9). </w:t>
      </w: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(2 pts each)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80" w:before="1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(a) Idea 1</w:t>
      </w:r>
      <w:r w:rsidDel="00000000" w:rsidR="00000000" w:rsidRPr="00000000">
        <w:rPr>
          <w:rFonts w:ascii="Inter" w:cs="Inter" w:eastAsia="Inter" w:hAnsi="Inter"/>
          <w:rtl w:val="0"/>
        </w:rPr>
        <w:br w:type="textWrapping"/>
      </w:r>
    </w:p>
    <w:p w:rsidR="00000000" w:rsidDel="00000000" w:rsidP="00000000" w:rsidRDefault="00000000" w:rsidRPr="00000000" w14:paraId="0000004D">
      <w:pPr>
        <w:spacing w:after="180" w:before="180" w:lineRule="auto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80" w:before="180" w:lineRule="auto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80" w:before="1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(b) Idea 2:</w:t>
      </w:r>
      <w:r w:rsidDel="00000000" w:rsidR="00000000" w:rsidRPr="00000000">
        <w:rPr>
          <w:rFonts w:ascii="Inter" w:cs="Inter" w:eastAsia="Inter" w:hAnsi="Inter"/>
          <w:rtl w:val="0"/>
        </w:rPr>
        <w:br w:type="textWrapping"/>
      </w:r>
    </w:p>
    <w:p w:rsidR="00000000" w:rsidDel="00000000" w:rsidP="00000000" w:rsidRDefault="00000000" w:rsidRPr="00000000" w14:paraId="00000050">
      <w:pPr>
        <w:spacing w:after="180" w:before="180" w:lineRule="auto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80" w:before="180" w:lineRule="auto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80" w:before="1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(c) Idea 3:</w:t>
      </w:r>
      <w:r w:rsidDel="00000000" w:rsidR="00000000" w:rsidRPr="00000000">
        <w:rPr>
          <w:rFonts w:ascii="Inter" w:cs="Inter" w:eastAsia="Inter" w:hAnsi="Inter"/>
          <w:rtl w:val="0"/>
        </w:rPr>
        <w:br w:type="textWrapping"/>
      </w:r>
    </w:p>
    <w:p w:rsidR="00000000" w:rsidDel="00000000" w:rsidP="00000000" w:rsidRDefault="00000000" w:rsidRPr="00000000" w14:paraId="00000053">
      <w:pPr>
        <w:spacing w:after="180" w:before="180" w:lineRule="auto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80" w:before="180" w:lineRule="auto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80" w:before="1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(d) Idea 4:</w:t>
      </w:r>
      <w:r w:rsidDel="00000000" w:rsidR="00000000" w:rsidRPr="00000000">
        <w:rPr>
          <w:rFonts w:ascii="Inter" w:cs="Inter" w:eastAsia="Inter" w:hAnsi="Inter"/>
          <w:rtl w:val="0"/>
        </w:rPr>
        <w:br w:type="textWrapping"/>
      </w:r>
    </w:p>
    <w:p w:rsidR="00000000" w:rsidDel="00000000" w:rsidP="00000000" w:rsidRDefault="00000000" w:rsidRPr="00000000" w14:paraId="00000056">
      <w:pPr>
        <w:spacing w:after="180" w:before="180" w:lineRule="auto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80" w:before="180" w:lineRule="auto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80" w:before="18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(e) Idea 5:</w:t>
      </w:r>
      <w:r w:rsidDel="00000000" w:rsidR="00000000" w:rsidRPr="00000000">
        <w:rPr>
          <w:rFonts w:ascii="Inter" w:cs="Inter" w:eastAsia="Inter" w:hAnsi="Inter"/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Part 4: Reflection — Tools &amp; Methods (5 pts)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Purpose: Reflect on your analytical process and how it compares to historical methods. Consider how you might use these tools with your future students.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rPr>
          <w:rFonts w:ascii="Inter" w:cs="Inter" w:eastAsia="Inter" w:hAnsi="Inter"/>
          <w:color w:val="000000"/>
        </w:rPr>
      </w:pPr>
      <w:r w:rsidDel="00000000" w:rsidR="00000000" w:rsidRPr="00000000">
        <w:rPr>
          <w:rtl w:val="0"/>
        </w:rPr>
        <w:t xml:space="preserve">(a) Poster Photo (1)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Include a photo of your completed poster from the Poster Relay. Make sure all three sticky notes (yellow, pink, green) are visible in the image.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[Insert photo here]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(b) Sticky Note Reactions (2)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Choose 2</w:t>
      </w:r>
      <w:r w:rsidDel="00000000" w:rsidR="00000000" w:rsidRPr="00000000">
        <w:rPr>
          <w:rFonts w:ascii="Inter" w:cs="Inter" w:eastAsia="Inter" w:hAnsi="Inter"/>
          <w:rtl w:val="0"/>
        </w:rPr>
        <w:t xml:space="preserve"> or more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sticky notes from your poster to react to. For each one: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18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 the text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from the sticky note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beforeAutospacing="0" w:line="240" w:lineRule="auto"/>
        <w:ind w:left="720" w:right="0" w:hanging="36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React: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Did it surprise you? Improve your idea? Misunderstand your intent? Give you a new direction?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Sticky 1: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Sticky 2:</w:t>
      </w: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(c) Tool Analysis (~50-75 words) (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Inter" w:cs="Inter" w:eastAsia="Inter" w:hAnsi="Inter"/>
          <w:rtl w:val="0"/>
        </w:rPr>
        <w:t xml:space="preserve">)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Which tool (GenAI, Desmos, or Sheets) seemed best suited for analyzing the Bills of Mortality data? Why? Which would you use with middle school students—and does order matter?</w:t>
      </w:r>
    </w:p>
    <w:p w:rsidR="00000000" w:rsidDel="00000000" w:rsidP="00000000" w:rsidRDefault="00000000" w:rsidRPr="00000000" w14:paraId="0000006F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Inter" w:cs="Inter" w:eastAsia="Inter" w:hAnsi="Inter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4f81bd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Inter" w:cs="Inter" w:eastAsia="Inter" w:hAnsi="Inter"/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480" w:lineRule="auto"/>
      <w:jc w:val="center"/>
    </w:pPr>
    <w:rPr>
      <w:rFonts w:ascii="Calibri" w:cs="Calibri" w:eastAsia="Calibri" w:hAnsi="Calibri"/>
      <w:b w:val="1"/>
      <w:bCs w:val="1"/>
      <w:color w:val="335b8a"/>
      <w:sz w:val="36"/>
      <w:szCs w:val="36"/>
    </w:rPr>
  </w:style>
  <w:style w:type="paragraph" w:styleId="BodyText">
    <w:name w:val="Body Text"/>
    <w:basedOn w:val="Normal"/>
    <w:link w:val="BodyTextChar"/>
    <w:qFormat w:val="1"/>
    <w:pPr>
      <w:spacing w:after="180" w:before="180"/>
    </w:pPr>
  </w:style>
  <w:style w:type="paragraph" w:styleId="FirstParagraph" w:customStyle="1">
    <w:name w:val="First Paragraph"/>
    <w:basedOn w:val="BodyText"/>
    <w:next w:val="BodyText"/>
    <w:qFormat w:val="1"/>
  </w:style>
  <w:style w:type="paragraph" w:styleId="Compact" w:customStyle="1">
    <w:name w:val="Compact"/>
    <w:basedOn w:val="BodyText"/>
    <w:qFormat w:val="1"/>
    <w:pPr>
      <w:spacing w:after="36" w:before="36"/>
    </w:pPr>
  </w:style>
  <w:style w:type="paragraph" w:styleId="Author" w:customStyle="1">
    <w:name w:val="Author"/>
    <w:next w:val="BodyText"/>
    <w:qFormat w:val="1"/>
    <w:pPr>
      <w:keepNext w:val="1"/>
      <w:keepLines w:val="1"/>
      <w:jc w:val="center"/>
    </w:pPr>
  </w:style>
  <w:style w:type="paragraph" w:styleId="Date">
    <w:name w:val="Date"/>
    <w:next w:val="BodyText"/>
    <w:qFormat w:val="1"/>
    <w:pPr>
      <w:keepNext w:val="1"/>
      <w:keepLines w:val="1"/>
      <w:jc w:val="center"/>
    </w:pPr>
  </w:style>
  <w:style w:type="paragraph" w:styleId="AbstractTitle" w:customStyle="1">
    <w:name w:val="Abstract Title"/>
    <w:basedOn w:val="Normal"/>
    <w:next w:val="Abstract"/>
    <w:qFormat w:val="1"/>
    <w:pPr>
      <w:keepNext w:val="1"/>
      <w:keepLines w:val="1"/>
      <w:spacing w:after="0" w:before="300"/>
      <w:jc w:val="center"/>
    </w:pPr>
    <w:rPr>
      <w:b w:val="1"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 w:val="1"/>
    <w:pPr>
      <w:keepNext w:val="1"/>
      <w:keepLines w:val="1"/>
      <w:spacing w:after="300" w:before="1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 w:val="1"/>
    <w:pPr/>
    <w:rPr/>
  </w:style>
  <w:style w:type="paragraph" w:styleId="Heading7">
    <w:name w:val="Heading 7"/>
    <w:basedOn w:val="Normal"/>
    <w:next w:val="BodyText"/>
    <w:uiPriority w:val="9"/>
    <w:unhideWhenUsed w:val="1"/>
    <w:qFormat w:val="1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 w:val="1"/>
    <w:qFormat w:val="1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 w:val="1"/>
    <w:qFormat w:val="1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 w:val="1"/>
    <w:qFormat w:val="1"/>
    <w:pPr>
      <w:spacing w:after="100" w:before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 w:val="1"/>
    <w:qFormat w:val="1"/>
  </w:style>
  <w:style w:type="character" w:styleId="DefaultParagraphFont" w:default="1">
    <w:name w:val="Default Paragraph Font"/>
    <w:semiHidden w:val="1"/>
    <w:unhideWhenUsed w:val="1"/>
  </w:style>
  <w:style w:type="table" w:styleId="Table" w:default="1">
    <w:name w:val="Table"/>
    <w:basedOn w:val="TableNormal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  <w:tblStylePr w:type="firstRow">
      <w:tblPr>
        <w:jc w:val="left"/>
        <w:tblInd w:w="0.0" w:type="dxa"/>
      </w:tblPr>
      <w:trPr>
        <w:jc w:val="left"/>
      </w:trPr>
      <w:tcPr>
        <w:tcBorders>
          <w:bottom w:space="0" w:sz="0"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 w:val="1"/>
      <w:keepLines w:val="1"/>
      <w:spacing w:after="0"/>
    </w:pPr>
    <w:rPr>
      <w:b w:val="1"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after="120" w:before="0"/>
    </w:pPr>
    <w:rPr>
      <w:i w:val="1"/>
    </w:rPr>
  </w:style>
  <w:style w:type="paragraph" w:styleId="TableCaption" w:customStyle="1">
    <w:name w:val="Table Caption"/>
    <w:basedOn w:val="Caption"/>
    <w:pPr>
      <w:keepNext w:val="1"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 w:val="1"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 w:val="1"/>
    <w:qFormat w:val="1"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365f91" w:themeColor="accent1" w:themeShade="0000BF"/>
    </w:rPr>
  </w:style>
  <w:style w:type="paragraph" w:styleId="SourceCode" w:customStyle="1">
    <w:name w:val="Source Code"/>
    <w:basedOn w:val="Normal"/>
    <w:link w:val="VerbatimChar"/>
    <w:pPr>
      <w:wordWrap w:val="0"/>
    </w:pPr>
  </w:style>
  <w:style w:type="character" w:styleId="KeywordTok" w:customStyle="1">
    <w:name w:val="KeywordTok"/>
    <w:basedOn w:val="VerbatimChar"/>
    <w:rPr>
      <w:b w:val="1"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 w:val="1"/>
      <w:color w:val="008000"/>
    </w:rPr>
  </w:style>
  <w:style w:type="character" w:styleId="CommentTok" w:customStyle="1">
    <w:name w:val="CommentTok"/>
    <w:basedOn w:val="VerbatimChar"/>
    <w:rPr>
      <w:i w:val="1"/>
      <w:color w:val="60a0b0"/>
    </w:rPr>
  </w:style>
  <w:style w:type="character" w:styleId="DocumentationTok" w:customStyle="1">
    <w:name w:val="DocumentationTok"/>
    <w:basedOn w:val="VerbatimChar"/>
    <w:rPr>
      <w:i w:val="1"/>
      <w:color w:val="ba2121"/>
    </w:rPr>
  </w:style>
  <w:style w:type="character" w:styleId="AnnotationTok" w:customStyle="1">
    <w:name w:val="AnnotationTok"/>
    <w:basedOn w:val="VerbatimChar"/>
    <w:rPr>
      <w:b w:val="1"/>
      <w:i w:val="1"/>
      <w:color w:val="60a0b0"/>
    </w:rPr>
  </w:style>
  <w:style w:type="character" w:styleId="CommentVarTok" w:customStyle="1">
    <w:name w:val="CommentVarTok"/>
    <w:basedOn w:val="VerbatimChar"/>
    <w:rPr>
      <w:b w:val="1"/>
      <w:i w:val="1"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 w:val="1"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 w:val="1"/>
      <w:i w:val="1"/>
      <w:color w:val="60a0b0"/>
    </w:rPr>
  </w:style>
  <w:style w:type="character" w:styleId="WarningTok" w:customStyle="1">
    <w:name w:val="WarningTok"/>
    <w:basedOn w:val="VerbatimChar"/>
    <w:rPr>
      <w:b w:val="1"/>
      <w:i w:val="1"/>
      <w:color w:val="60a0b0"/>
    </w:rPr>
  </w:style>
  <w:style w:type="character" w:styleId="AlertTok" w:customStyle="1">
    <w:name w:val="AlertTok"/>
    <w:basedOn w:val="VerbatimChar"/>
    <w:rPr>
      <w:b w:val="1"/>
      <w:color w:val="ff0000"/>
    </w:rPr>
  </w:style>
  <w:style w:type="character" w:styleId="ErrorTok" w:customStyle="1">
    <w:name w:val="ErrorTok"/>
    <w:basedOn w:val="VerbatimChar"/>
    <w:rPr>
      <w:b w:val="1"/>
      <w:color w:val="ff0000"/>
    </w:rPr>
  </w:style>
  <w:style w:type="character" w:styleId="NormalTok" w:customStyle="1">
    <w:name w:val="NormalTok"/>
    <w:basedOn w:val="VerbatimChar"/>
    <w:rPr/>
  </w:style>
  <w:style w:type="paragraph" w:styleId="Subtitle">
    <w:name w:val="Subtitle"/>
    <w:basedOn w:val="Normal"/>
    <w:next w:val="Normal"/>
    <w:pPr>
      <w:keepNext w:val="1"/>
      <w:keepLines w:val="1"/>
      <w:spacing w:after="240" w:before="240" w:lineRule="auto"/>
      <w:jc w:val="center"/>
    </w:pPr>
    <w:rPr>
      <w:rFonts w:ascii="Calibri" w:cs="Calibri" w:eastAsia="Calibri" w:hAnsi="Calibri"/>
      <w:b w:val="1"/>
      <w:bCs w:val="1"/>
      <w:color w:val="335b8a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desmos.com/calculator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OhioMathTeacher/TCE265-Materials/raw/main/PS2-WK4_5-Graunt/Graunt%20Tables%201605_06.png" TargetMode="External"/><Relationship Id="rId8" Type="http://schemas.openxmlformats.org/officeDocument/2006/relationships/hyperlink" Target="https://github.com/OhioMathTeacher/TCE265-Materials/raw/main/PS2-WK4_5-Graunt/Graunt%20Tables%201664_65.pn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/LMs3ycOg7dgfj6OrJjLY8+lXA==">CgMxLjAaHwoBMBIaChgICVIUChJ0YWJsZS5oOGt2c21sa2duNGgyDmguMXM4cW9vcjg1ZHowOAByITFnbkY3aVRYaG1WX25hNUdBdndraVRFazlsUlVfa0gyMg==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2026-01-18T20:26:37Z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