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NotebookLM Discussion Post - Week 1</w:t>
      </w:r>
    </w:p>
    <w:p>
      <w:r>
        <w:rPr>
          <w:rFonts w:ascii="Calibri" w:hAnsi="Calibri"/>
          <w:b/>
          <w:sz w:val="22"/>
        </w:rPr>
        <w:t>TCE 486/586A</w:t>
      </w:r>
    </w:p>
    <w:p>
      <w:r>
        <w:rPr>
          <w:rFonts w:ascii="Calibri" w:hAnsi="Calibri"/>
          <w:sz w:val="22"/>
        </w:rPr>
        <w:t>Spring 2026 (Edwards)</w:t>
      </w:r>
    </w:p>
    <w:p>
      <w:r>
        <w:rPr>
          <w:rFonts w:ascii="Calibri" w:hAnsi="Calibri"/>
          <w:sz w:val="22"/>
        </w:rPr>
        <w:t>5 points possible</w:t>
      </w:r>
    </w:p>
    <w:p/>
    <w:p>
      <w:r>
        <w:rPr>
          <w:rFonts w:ascii="Calibri" w:hAnsi="Calibri"/>
          <w:b/>
          <w:color w:val="0F4761"/>
          <w:sz w:val="22"/>
        </w:rPr>
        <w:t>1. What is this all about?</w:t>
      </w:r>
    </w:p>
    <w:p>
      <w:r>
        <w:rPr>
          <w:rFonts w:ascii="Calibri" w:hAnsi="Calibri"/>
          <w:sz w:val="22"/>
        </w:rPr>
        <w:t>These discussion posts have two purposes: (1) To offer you a chance to reflect on the readings and discussions you had with classmates about them; and (2) To provide you with practice using genAI tools, specifically NotebookLM, to engage with readings. This anticipates work you will likely do with your own students as well as providing you with tools to improve your own reading comprehension.</w:t>
        <w:br/>
        <w:br/>
        <w:t>This Week's Prompts:</w:t>
        <w:br/>
        <w:br/>
        <w:t>Ambitious Science Teaching, Chapter 1: Ambitious Science Teaching</w:t>
        <w:br/>
        <w:t>What does "ambitious" science teaching mean? If teachers should "anchor learning in real phenomena," when should you actually TEACH the vocabulary? Before students investigate (so they can name what they see)? After (so they construct meaning first)? Never explicitly?</w:t>
        <w:br/>
        <w:br/>
        <w:t>Boaler, Chapter 3: The Creativity and Beauty in Mathematics</w:t>
        <w:br/>
        <w:t>Boaler says "math is too much answer time and not enough learning time"—but don't students NEED answers to know if they're learning correctly? Can you really teach math without focusing on right and wrong answers?</w:t>
      </w:r>
    </w:p>
    <w:p/>
    <w:p>
      <w:r>
        <w:rPr>
          <w:rFonts w:ascii="Calibri" w:hAnsi="Calibri"/>
          <w:b/>
          <w:color w:val="0F4761"/>
          <w:sz w:val="22"/>
        </w:rPr>
        <w:t>2. What do I need to do?</w:t>
      </w:r>
    </w:p>
    <w:p>
      <w:r>
        <w:rPr>
          <w:rFonts w:ascii="Calibri" w:hAnsi="Calibri"/>
          <w:sz w:val="22"/>
        </w:rPr>
        <w:t>Answer ONE of the philosophical prompts above, then respond to 2 classmates.</w:t>
        <w:br/>
        <w:br/>
        <w:t>Part 1: Your Reflection (3 points)</w:t>
        <w:br/>
        <w:br/>
        <w:t>(a) Choose ONE prompt above and respond in 100-200 words.</w:t>
        <w:br/>
        <w:br/>
        <w:t>Then answer the following questions, each in a solid paragraph. Include direct references to your reading in (c).</w:t>
        <w:br/>
        <w:br/>
        <w:t>(b) What NotebookLM tool(s) did you use this week? (Audio Overview, Study Guide, Briefing Doc, FAQ, etc.)</w:t>
        <w:br/>
        <w:br/>
        <w:t>(c) What's one teaching idea from your reading that you want to try? Be specific!</w:t>
        <w:br/>
        <w:br/>
        <w:t>Part 2: Respond to 2 Classmates (2 points)</w:t>
        <w:br/>
        <w:br/>
        <w:t>After posting your reflection, read through your classmates' responses and reply meaningfully to two of them. Each response should be 2-3 sentences that:</w:t>
        <w:br/>
        <w:br/>
        <w:t>• Builds on their idea with an example from your own experience or reading, OR</w:t>
        <w:br/>
        <w:t>• Asks a genuine follow-up question about their insight, OR</w:t>
        <w:br/>
        <w:t>• Connects their idea to something from this week's reading</w:t>
        <w:br/>
        <w:br/>
        <w:t>NOT accepted: "Great post!" or "I agree!" Show you're thinking with them, not just checking a box.</w:t>
      </w:r>
    </w:p>
    <w:p/>
    <w:p>
      <w:r>
        <w:rPr>
          <w:rFonts w:ascii="Calibri" w:hAnsi="Calibri"/>
          <w:b/>
          <w:color w:val="0F4761"/>
          <w:sz w:val="22"/>
        </w:rPr>
        <w:t>3. How will my work be assessed? (5 points)</w:t>
      </w:r>
    </w:p>
    <w:p/>
    <w:tbl>
      <w:tblPr>
        <w:tblStyle w:val="LightGrid-Accent1"/>
        <w:tblW w:type="auto" w:w="0"/>
        <w:tblLook w:firstColumn="1" w:firstRow="1" w:lastColumn="0" w:lastRow="0" w:noHBand="0" w:noVBand="1" w:val="04A0"/>
      </w:tblPr>
      <w:tblGrid>
        <w:gridCol w:w="3600"/>
        <w:gridCol w:w="3600"/>
        <w:gridCol w:w="3600"/>
      </w:tblGrid>
      <w:tr>
        <w:tc>
          <w:tcPr>
            <w:tcW w:type="dxa" w:w="3600"/>
          </w:tcPr>
          <w:p>
            <w:r>
              <w:rPr>
                <w:rFonts w:ascii="Calibri" w:hAnsi="Calibri"/>
                <w:b/>
                <w:sz w:val="22"/>
              </w:rPr>
              <w:t>Criterion</w:t>
            </w:r>
          </w:p>
        </w:tc>
        <w:tc>
          <w:tcPr>
            <w:tcW w:type="dxa" w:w="3600"/>
          </w:tcPr>
          <w:p>
            <w:r>
              <w:rPr>
                <w:rFonts w:ascii="Calibri" w:hAnsi="Calibri"/>
                <w:b/>
                <w:sz w:val="22"/>
              </w:rPr>
              <w:t>Points</w:t>
            </w:r>
          </w:p>
        </w:tc>
        <w:tc>
          <w:tcPr>
            <w:tcW w:type="dxa" w:w="3600"/>
          </w:tcPr>
          <w:p>
            <w:r>
              <w:rPr>
                <w:rFonts w:ascii="Calibri" w:hAnsi="Calibri"/>
                <w:b/>
                <w:sz w:val="22"/>
              </w:rPr>
              <w:t>What I'm Looking For</w:t>
            </w:r>
          </w:p>
        </w:tc>
      </w:tr>
      <w:tr>
        <w:tc>
          <w:tcPr>
            <w:tcW w:type="dxa" w:w="3600"/>
          </w:tcPr>
          <w:p>
            <w:r>
              <w:rPr>
                <w:rFonts w:ascii="Calibri" w:hAnsi="Calibri"/>
                <w:sz w:val="22"/>
              </w:rPr>
              <w:t>Initial post</w:t>
            </w:r>
          </w:p>
        </w:tc>
        <w:tc>
          <w:tcPr>
            <w:tcW w:type="dxa" w:w="3600"/>
          </w:tcPr>
          <w:p>
            <w:r>
              <w:rPr>
                <w:rFonts w:ascii="Calibri" w:hAnsi="Calibri"/>
                <w:sz w:val="22"/>
              </w:rPr>
              <w:t>3</w:t>
            </w:r>
          </w:p>
        </w:tc>
        <w:tc>
          <w:tcPr>
            <w:tcW w:type="dxa" w:w="3600"/>
          </w:tcPr>
          <w:p>
            <w:r>
              <w:rPr>
                <w:rFonts w:ascii="Calibri" w:hAnsi="Calibri"/>
                <w:sz w:val="22"/>
              </w:rPr>
              <w:t>Thoughtful response to ONE prompt + specific NotebookLM tools used + concrete teaching idea from your reading</w:t>
            </w:r>
          </w:p>
        </w:tc>
      </w:tr>
      <w:tr>
        <w:tc>
          <w:tcPr>
            <w:tcW w:type="dxa" w:w="3600"/>
          </w:tcPr>
          <w:p>
            <w:r>
              <w:rPr>
                <w:rFonts w:ascii="Calibri" w:hAnsi="Calibri"/>
                <w:sz w:val="22"/>
              </w:rPr>
              <w:t>Peer responses</w:t>
            </w:r>
          </w:p>
        </w:tc>
        <w:tc>
          <w:tcPr>
            <w:tcW w:type="dxa" w:w="3600"/>
          </w:tcPr>
          <w:p>
            <w:r>
              <w:rPr>
                <w:rFonts w:ascii="Calibri" w:hAnsi="Calibri"/>
                <w:sz w:val="22"/>
              </w:rPr>
              <w:t>2</w:t>
            </w:r>
          </w:p>
        </w:tc>
        <w:tc>
          <w:tcPr>
            <w:tcW w:type="dxa" w:w="3600"/>
          </w:tcPr>
          <w:p>
            <w:r>
              <w:rPr>
                <w:rFonts w:ascii="Calibri" w:hAnsi="Calibri"/>
                <w:sz w:val="22"/>
              </w:rPr>
              <w:t>Two substantive responses that build on, question, or connect classmates' ideas</w:t>
            </w:r>
          </w:p>
        </w:tc>
      </w:tr>
    </w:tbl>
    <w:p/>
    <w:p>
      <w:r>
        <w:rPr>
          <w:rFonts w:ascii="Calibri" w:hAnsi="Calibri"/>
          <w:b/>
          <w:color w:val="0F4761"/>
          <w:sz w:val="22"/>
        </w:rPr>
        <w:t>4. Submission</w:t>
      </w:r>
    </w:p>
    <w:p>
      <w:r>
        <w:rPr>
          <w:rFonts w:ascii="Calibri" w:hAnsi="Calibri"/>
          <w:sz w:val="22"/>
        </w:rPr>
        <w:t>Submit your work to Canvas.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