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color w:val="000000"/>
          <w:sz w:val="24"/>
        </w:rPr>
        <w:t>NotebookLM Discussion Post - Week 2</w:t>
        <w:br/>
        <w:t>TCE 486/586A</w:t>
        <w:br/>
        <w:t>Spring 2026 (Edwards)</w:t>
        <w:br/>
        <w:t>10 points possible</w:t>
      </w:r>
    </w:p>
    <w:p>
      <w:pPr>
        <w:pStyle w:val="Normal"/>
        <w:rPr/>
      </w:pPr>
      <w:r>
        <w:rPr>
          <w:b/>
          <w:color w:val="0F4761"/>
        </w:rPr>
        <w:t>1. What is this all about?</w:t>
      </w:r>
    </w:p>
    <w:p>
      <w:pPr>
        <w:pStyle w:val="Normal"/>
        <w:rPr/>
      </w:pPr>
      <w:r>
        <w:rP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tbl>
      <w:tblPr>
        <w:tblW w:w="8457" w:type="dxa"/>
        <w:jc w:val="left"/>
        <w:tblInd w:w="183" w:type="dxa"/>
        <w:tblLayout w:type="fixed"/>
        <w:tblCellMar>
          <w:top w:w="0" w:type="dxa"/>
          <w:left w:w="108" w:type="dxa"/>
          <w:bottom w:w="0" w:type="dxa"/>
          <w:right w:w="108" w:type="dxa"/>
        </w:tblCellMar>
        <w:tblLook w:val="04a0" w:noHBand="0" w:noVBand="1" w:firstColumn="1" w:lastRow="0" w:lastColumn="0" w:firstRow="1"/>
      </w:tblPr>
      <w:tblGrid>
        <w:gridCol w:w="8457"/>
      </w:tblGrid>
      <w:tr>
        <w:trPr/>
        <w:tc>
          <w:tcPr>
            <w:tcW w:w="8457" w:type="dxa"/>
            <w:tcBorders/>
            <w:shd w:fill="E0E0E0"/>
          </w:tcPr>
          <w:p>
            <w:pPr>
              <w:pStyle w:val="Normal"/>
              <w:widowControl/>
              <w:bidi w:val="0"/>
              <w:spacing w:lineRule="auto" w:line="276" w:before="0" w:after="200"/>
              <w:jc w:val="left"/>
              <w:rPr/>
            </w:pPr>
            <w:r>
              <w:rPr>
                <w:b/>
                <w:sz w:val="22"/>
              </w:rPr>
              <w:t xml:space="preserve">This Week's </w:t>
            </w:r>
            <w:r>
              <w:rPr>
                <w:b/>
                <w:sz w:val="22"/>
              </w:rPr>
              <w:t>Prompts</w:t>
            </w:r>
            <w:r>
              <w:rPr>
                <w:b/>
                <w:sz w:val="22"/>
              </w:rPr>
              <w:t>:</w:t>
            </w:r>
          </w:p>
        </w:tc>
      </w:tr>
      <w:tr>
        <w:trPr/>
        <w:tc>
          <w:tcPr>
            <w:tcW w:w="8457" w:type="dxa"/>
            <w:tcBorders/>
            <w:shd w:fill="E0E0E0"/>
          </w:tcPr>
          <w:p>
            <w:pPr>
              <w:pStyle w:val="Normal"/>
              <w:spacing w:before="0" w:after="200"/>
              <w:rPr/>
            </w:pPr>
            <w:r>
              <w:rPr>
                <w:b/>
                <w:sz w:val="20"/>
              </w:rPr>
              <w:t>Ambitious Science Teaching, Chapter 2: Planning for Engagement with Important Science Ideas</w:t>
            </w:r>
            <w:r>
              <w:rPr>
                <w:sz w:val="20"/>
              </w:rPr>
              <w:br/>
              <w:t>Chapter 2 says "not every science idea in your textbook is worth teaching"—but who decides what's "worth it"? The standards writers? You? Your students? What if your students find YOUR big ideas boring?</w:t>
            </w:r>
          </w:p>
        </w:tc>
      </w:tr>
      <w:tr>
        <w:trPr/>
        <w:tc>
          <w:tcPr>
            <w:tcW w:w="8457" w:type="dxa"/>
            <w:tcBorders/>
            <w:shd w:fill="E0E0E0"/>
          </w:tcPr>
          <w:p>
            <w:pPr>
              <w:pStyle w:val="Normal"/>
              <w:spacing w:before="0" w:after="200"/>
              <w:rPr/>
            </w:pPr>
            <w:r>
              <w:rPr>
                <w:b/>
                <w:sz w:val="20"/>
              </w:rPr>
              <w:t>Boaler, Chapter 5: Rich Mathematical Tasks</w:t>
            </w:r>
            <w:r>
              <w:rPr>
                <w:sz w:val="20"/>
              </w:rPr>
              <w:br/>
              <w:t>If a task is truly "low floor, high ceiling," does that mean ANY student can reach the ceiling—or does it mean we accept that some will stay on lower floors? Where does equity meet reality in task design?</w:t>
            </w:r>
          </w:p>
        </w:tc>
      </w:tr>
    </w:tbl>
    <w:p>
      <w:pPr>
        <w:pStyle w:val="Normal"/>
        <w:rPr>
          <w:b/>
          <w:color w:val="0F4761"/>
        </w:rPr>
      </w:pPr>
      <w:r>
        <w:rPr/>
      </w:r>
    </w:p>
    <w:p>
      <w:pPr>
        <w:pStyle w:val="Normal"/>
        <w:rPr/>
      </w:pPr>
      <w:r>
        <w:rPr>
          <w:b/>
          <w:color w:val="0F4761"/>
        </w:rPr>
        <w:t>2. What do I need to do?</w:t>
      </w:r>
    </w:p>
    <w:p>
      <w:pPr>
        <w:pStyle w:val="Normal"/>
        <w:rPr/>
      </w:pPr>
      <w:r>
        <w:rPr/>
        <w:t xml:space="preserve">Answer the philosophical prompt for the chapter YOU deep-read this week </w:t>
      </w:r>
      <w:r>
        <w:rPr/>
        <w:t>and discuss your use of NotebookLM to better understand the chapter</w:t>
      </w:r>
      <w:r>
        <w:rPr/>
        <w:t>, then synthesize what you learned from your team.</w:t>
      </w:r>
    </w:p>
    <w:p>
      <w:pPr>
        <w:pStyle w:val="Normal"/>
        <w:rPr>
          <w:b/>
          <w:bCs/>
        </w:rPr>
      </w:pPr>
      <w:r>
        <w:rPr>
          <w:b/>
          <w:bCs/>
        </w:rPr>
        <w:t>Part 1: Chapter Deep-Dive (4 points)</w:t>
      </w:r>
    </w:p>
    <w:p>
      <w:pPr>
        <w:pStyle w:val="Normal"/>
        <w:rPr/>
      </w:pPr>
      <w:r>
        <w:rPr/>
        <w:t xml:space="preserve">(a) Respond to </w:t>
      </w:r>
      <w:r>
        <w:rPr/>
        <w:t xml:space="preserve">the prompt for YOUR chapter </w:t>
      </w:r>
      <w:r>
        <w:rPr/>
        <w:t xml:space="preserve">in 100-200 words. </w:t>
      </w:r>
    </w:p>
    <w:p>
      <w:pPr>
        <w:pStyle w:val="Normal"/>
        <w:rPr/>
      </w:pPr>
      <w:r>
        <w:rPr/>
        <w:t>Then answer the following questions, each in a solid paragraph. Include direct references to your reading in (c).</w:t>
      </w:r>
    </w:p>
    <w:p>
      <w:pPr>
        <w:pStyle w:val="Normal"/>
        <w:rPr/>
      </w:pPr>
      <w:r>
        <w:rPr/>
        <w:t xml:space="preserve">(b) </w:t>
      </w:r>
      <w:r>
        <w:rPr/>
        <w:t>What NotebookLM tool(s) did you use this week? (Audio Overview, Study Guide, Briefing Doc, FAQ, etc.)</w:t>
      </w:r>
    </w:p>
    <w:p>
      <w:pPr>
        <w:pStyle w:val="Normal"/>
        <w:rPr/>
      </w:pPr>
      <w:r>
        <w:rPr/>
        <w:t xml:space="preserve">(c) </w:t>
      </w:r>
      <w:r>
        <w:rPr/>
        <w:t>What's one teaching idea from YOUR chapter that you want to try? Be specific!</w:t>
      </w:r>
    </w:p>
    <w:p>
      <w:pPr>
        <w:pStyle w:val="Normal"/>
        <w:rPr/>
      </w:pPr>
      <w:r>
        <w:rPr>
          <w:b/>
          <w:bCs/>
        </w:rPr>
        <w:t>Part 2: Synthesis - Learning from Your Team (</w:t>
      </w:r>
      <w:r>
        <w:rPr>
          <w:b/>
          <w:bCs/>
        </w:rPr>
        <w:t xml:space="preserve">3 pts each = 6 </w:t>
      </w:r>
      <w:r>
        <w:rPr>
          <w:b/>
          <w:bCs/>
        </w:rPr>
        <w:t xml:space="preserve">points </w:t>
      </w:r>
      <w:r>
        <w:rPr>
          <w:b/>
          <w:bCs/>
        </w:rPr>
        <w:t>total</w:t>
      </w:r>
      <w:r>
        <w:rPr>
          <w:b/>
          <w:bCs/>
        </w:rPr>
        <w:t>)</w:t>
      </w:r>
    </w:p>
    <w:p>
      <w:pPr>
        <w:pStyle w:val="Normal"/>
        <w:rPr/>
      </w:pPr>
      <w:r>
        <w:rPr/>
        <w:t xml:space="preserve">(a) </w:t>
      </w:r>
      <w:r>
        <w:rPr/>
        <w:t>What did you learn from your teammates about the OTHER chapter (the one you didn't deep-read)? What's one key idea or teaching strategy from that chapter that stuck with you from Thursday's discussion?</w:t>
      </w:r>
    </w:p>
    <w:p>
      <w:pPr>
        <w:pStyle w:val="Normal"/>
        <w:rPr/>
      </w:pPr>
      <w:r>
        <w:rPr/>
        <w:t xml:space="preserve">(b) </w:t>
      </w:r>
      <w:r>
        <w:rPr/>
        <w:t>Go to NotebookLM and ask the AI a synthesis question that connects BOTH chapters. For example: "How do Boaler's rich tasks support the kind of big idea engagement that AS Chapter 2 describes?" or "What would an anchoring phenomenon look like if it followed Boaler's 5 C's?"</w:t>
      </w:r>
    </w:p>
    <w:p>
      <w:pPr>
        <w:pStyle w:val="Normal"/>
        <w:rPr/>
      </w:pPr>
      <w:r>
        <w:rPr/>
        <w:t>Include a screenshot of your question and the AI's response.</w:t>
      </w:r>
    </w:p>
    <w:p>
      <w:pPr>
        <w:pStyle w:val="Normal"/>
        <w:rPr>
          <w:b/>
          <w:color w:val="0F4761"/>
        </w:rPr>
      </w:pPr>
      <w:r>
        <w:rPr/>
      </w:r>
    </w:p>
    <w:p>
      <w:pPr>
        <w:pStyle w:val="Normal"/>
        <w:rPr>
          <w:b/>
          <w:color w:val="0F4761"/>
        </w:rPr>
      </w:pPr>
      <w:r>
        <w:rPr/>
      </w:r>
    </w:p>
    <w:p>
      <w:pPr>
        <w:pStyle w:val="Normal"/>
        <w:rPr/>
      </w:pPr>
      <w:r>
        <w:rPr>
          <w:b/>
          <w:color w:val="0F4761"/>
        </w:rPr>
        <w:t>3. How will my work be assessed?</w:t>
      </w:r>
    </w:p>
    <w:tbl>
      <w:tblPr>
        <w:tblW w:w="5000" w:type="pct"/>
        <w:jc w:val="left"/>
        <w:tblInd w:w="0" w:type="dxa"/>
        <w:tblLayout w:type="fixed"/>
        <w:tblCellMar>
          <w:top w:w="0" w:type="dxa"/>
          <w:left w:w="0" w:type="dxa"/>
          <w:bottom w:w="0" w:type="dxa"/>
          <w:right w:w="0" w:type="dxa"/>
        </w:tblCellMar>
      </w:tblPr>
      <w:tblGrid>
        <w:gridCol w:w="3600"/>
        <w:gridCol w:w="990"/>
        <w:gridCol w:w="6210"/>
      </w:tblGrid>
      <w:tr>
        <w:trPr>
          <w:tblHeader w:val="true"/>
        </w:trPr>
        <w:tc>
          <w:tcPr>
            <w:tcW w:w="3600" w:type="dxa"/>
            <w:tcBorders/>
            <w:shd w:fill="CCCCCC" w:val="clear"/>
          </w:tcPr>
          <w:p>
            <w:pPr>
              <w:pStyle w:val="TableHeading"/>
              <w:spacing w:before="0" w:after="200"/>
              <w:rPr/>
            </w:pPr>
            <w:r>
              <w:rPr/>
              <w:t>Criterion</w:t>
            </w:r>
          </w:p>
        </w:tc>
        <w:tc>
          <w:tcPr>
            <w:tcW w:w="990" w:type="dxa"/>
            <w:tcBorders/>
            <w:shd w:fill="CCCCCC" w:val="clear"/>
          </w:tcPr>
          <w:p>
            <w:pPr>
              <w:pStyle w:val="TableHeading"/>
              <w:spacing w:before="0" w:after="200"/>
              <w:rPr/>
            </w:pPr>
            <w:r>
              <w:rPr/>
              <w:t>Points</w:t>
            </w:r>
          </w:p>
        </w:tc>
        <w:tc>
          <w:tcPr>
            <w:tcW w:w="6210" w:type="dxa"/>
            <w:tcBorders/>
            <w:shd w:fill="CCCCCC" w:val="clear"/>
          </w:tcPr>
          <w:p>
            <w:pPr>
              <w:pStyle w:val="TableHeading"/>
              <w:spacing w:before="0" w:after="200"/>
              <w:rPr/>
            </w:pPr>
            <w:r>
              <w:rPr/>
              <w:t>What I’m Looking For</w:t>
            </w:r>
          </w:p>
        </w:tc>
      </w:tr>
      <w:tr>
        <w:trPr/>
        <w:tc>
          <w:tcPr>
            <w:tcW w:w="3600" w:type="dxa"/>
            <w:tcBorders/>
          </w:tcPr>
          <w:p>
            <w:pPr>
              <w:pStyle w:val="TableContents"/>
              <w:spacing w:before="0" w:after="200"/>
              <w:rPr/>
            </w:pPr>
            <w:r>
              <w:rPr/>
              <w:t>Chapter Deep-Dive</w:t>
            </w:r>
          </w:p>
        </w:tc>
        <w:tc>
          <w:tcPr>
            <w:tcW w:w="990" w:type="dxa"/>
            <w:tcBorders/>
          </w:tcPr>
          <w:p>
            <w:pPr>
              <w:pStyle w:val="TableContents"/>
              <w:spacing w:before="0" w:after="200"/>
              <w:rPr/>
            </w:pPr>
            <w:r>
              <w:rPr/>
              <w:t>4</w:t>
            </w:r>
          </w:p>
        </w:tc>
        <w:tc>
          <w:tcPr>
            <w:tcW w:w="6210" w:type="dxa"/>
            <w:tcBorders/>
          </w:tcPr>
          <w:p>
            <w:pPr>
              <w:pStyle w:val="TableContents"/>
              <w:widowControl/>
              <w:spacing w:before="0" w:after="200"/>
              <w:ind w:hanging="0" w:left="0" w:right="0"/>
              <w:jc w:val="left"/>
              <w:rPr>
                <w:rFonts w:ascii="system-ui;Ubuntu;Droid Sans;sans-serif" w:hAnsi="system-ui;Ubuntu;Droid Sans;sans-serif"/>
                <w:b w:val="false"/>
                <w:i w:val="false"/>
                <w:caps w:val="false"/>
                <w:smallCaps w:val="false"/>
                <w:color w:val="3B3B3B"/>
                <w:spacing w:val="0"/>
                <w:sz w:val="20"/>
              </w:rPr>
            </w:pPr>
            <w:r>
              <w:rPr>
                <w:rFonts w:ascii="system-ui;Ubuntu;Droid Sans;sans-serif" w:hAnsi="system-ui;Ubuntu;Droid Sans;sans-serif"/>
                <w:b w:val="false"/>
                <w:i w:val="false"/>
                <w:caps w:val="false"/>
                <w:smallCaps w:val="false"/>
                <w:color w:val="3B3B3B"/>
                <w:spacing w:val="0"/>
                <w:sz w:val="20"/>
              </w:rPr>
              <w:t>Thoughtful response to philosophical prompt + specific NotebookLM tools used + concrete teaching idea from YOUR chapter</w:t>
            </w:r>
          </w:p>
        </w:tc>
      </w:tr>
      <w:tr>
        <w:trPr/>
        <w:tc>
          <w:tcPr>
            <w:tcW w:w="3600" w:type="dxa"/>
            <w:tcBorders/>
          </w:tcPr>
          <w:p>
            <w:pPr>
              <w:pStyle w:val="TableContents"/>
              <w:spacing w:before="0" w:after="200"/>
              <w:rPr/>
            </w:pPr>
            <w:r>
              <w:rPr/>
              <w:t>Human Synthesis</w:t>
            </w:r>
          </w:p>
        </w:tc>
        <w:tc>
          <w:tcPr>
            <w:tcW w:w="990" w:type="dxa"/>
            <w:tcBorders/>
          </w:tcPr>
          <w:p>
            <w:pPr>
              <w:pStyle w:val="TableContents"/>
              <w:spacing w:before="0" w:after="200"/>
              <w:rPr/>
            </w:pPr>
            <w:r>
              <w:rPr/>
              <w:t>3</w:t>
            </w:r>
          </w:p>
        </w:tc>
        <w:tc>
          <w:tcPr>
            <w:tcW w:w="6210" w:type="dxa"/>
            <w:tcBorders/>
          </w:tcPr>
          <w:p>
            <w:pPr>
              <w:pStyle w:val="TableContents"/>
              <w:widowControl/>
              <w:spacing w:before="0" w:after="200"/>
              <w:ind w:hanging="0" w:left="0" w:right="0"/>
              <w:jc w:val="left"/>
              <w:rPr>
                <w:rFonts w:ascii="system-ui;Ubuntu;Droid Sans;sans-serif" w:hAnsi="system-ui;Ubuntu;Droid Sans;sans-serif"/>
                <w:b w:val="false"/>
                <w:i w:val="false"/>
                <w:caps w:val="false"/>
                <w:smallCaps w:val="false"/>
                <w:color w:val="3B3B3B"/>
                <w:spacing w:val="0"/>
                <w:sz w:val="20"/>
              </w:rPr>
            </w:pPr>
            <w:r>
              <w:rPr>
                <w:rFonts w:ascii="system-ui;Ubuntu;Droid Sans;sans-serif" w:hAnsi="system-ui;Ubuntu;Droid Sans;sans-serif"/>
                <w:b w:val="false"/>
                <w:i w:val="false"/>
                <w:caps w:val="false"/>
                <w:smallCaps w:val="false"/>
                <w:color w:val="3B3B3B"/>
                <w:spacing w:val="0"/>
                <w:sz w:val="20"/>
              </w:rPr>
              <w:t>Clear explanation of what you learned from teammates about the OTHER chapter with specific teaching strategy</w:t>
            </w:r>
          </w:p>
        </w:tc>
      </w:tr>
      <w:tr>
        <w:trPr/>
        <w:tc>
          <w:tcPr>
            <w:tcW w:w="3600" w:type="dxa"/>
            <w:tcBorders/>
          </w:tcPr>
          <w:p>
            <w:pPr>
              <w:pStyle w:val="TableContents"/>
              <w:spacing w:before="0" w:after="200"/>
              <w:rPr/>
            </w:pPr>
            <w:r>
              <w:rPr/>
              <w:t>AI Synthesis</w:t>
            </w:r>
          </w:p>
        </w:tc>
        <w:tc>
          <w:tcPr>
            <w:tcW w:w="990" w:type="dxa"/>
            <w:tcBorders/>
          </w:tcPr>
          <w:p>
            <w:pPr>
              <w:pStyle w:val="TableContents"/>
              <w:spacing w:before="0" w:after="200"/>
              <w:rPr/>
            </w:pPr>
            <w:r>
              <w:rPr/>
              <w:t>3</w:t>
            </w:r>
          </w:p>
        </w:tc>
        <w:tc>
          <w:tcPr>
            <w:tcW w:w="6210" w:type="dxa"/>
            <w:tcBorders/>
          </w:tcPr>
          <w:p>
            <w:pPr>
              <w:pStyle w:val="Normal"/>
              <w:spacing w:before="0" w:after="200"/>
              <w:ind w:hanging="0" w:left="0" w:right="0"/>
              <w:rPr/>
            </w:pPr>
            <w:r>
              <w:rPr>
                <w:rFonts w:ascii="system-ui;Ubuntu;Droid Sans;sans-serif" w:hAnsi="system-ui;Ubuntu;Droid Sans;sans-serif"/>
                <w:sz w:val="20"/>
              </w:rPr>
              <w:t>Synthesis question connecting both chapters + screenshot of NotebookLM response</w:t>
            </w:r>
          </w:p>
        </w:tc>
      </w:tr>
    </w:tbl>
    <w:p>
      <w:pPr>
        <w:pStyle w:val="Normal"/>
        <w:rPr>
          <w:b/>
          <w:color w:val="0F4761"/>
        </w:rPr>
      </w:pPr>
      <w:r>
        <w:rPr/>
      </w:r>
    </w:p>
    <w:p>
      <w:pPr>
        <w:pStyle w:val="Normal"/>
        <w:rPr/>
      </w:pPr>
      <w:r>
        <w:rPr>
          <w:b/>
          <w:color w:val="0F4761"/>
        </w:rPr>
        <w:t>4. Submission</w:t>
      </w:r>
    </w:p>
    <w:p>
      <w:pPr>
        <w:pStyle w:val="Normal"/>
        <w:spacing w:before="0" w:after="200"/>
        <w:rPr/>
      </w:pPr>
      <w:r>
        <w:rPr/>
        <w:t>Submit your work as a docx or pdf in CANVAS by the due date listed.</w:t>
      </w:r>
    </w:p>
    <w:sectPr>
      <w:type w:val="nextPage"/>
      <w:pgSz w:w="12240" w:h="15840"/>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stem-ui">
    <w:altName w:val="Ubuntu"/>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Application>LibreOffice/24.2.7.2$Linux_X86_64 LibreOffice_project/420$Build-2</Application>
  <AppVersion>15.0000</AppVersion>
  <Pages>2</Pages>
  <Words>472</Words>
  <Characters>2356</Characters>
  <CharactersWithSpaces>2795</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2026-01-24T21:10:44Z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