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sz w:val="32"/>
        </w:rPr>
        <w:t>NotebookLM Discussion Post - Week 9</w:t>
      </w:r>
    </w:p>
    <w:p>
      <w:r>
        <w:rPr>
          <w:rFonts w:ascii="Calibri" w:hAnsi="Calibri"/>
          <w:b/>
          <w:sz w:val="22"/>
        </w:rPr>
        <w:t>TCE 486/586A</w:t>
      </w:r>
    </w:p>
    <w:p>
      <w:r>
        <w:rPr>
          <w:rFonts w:ascii="Calibri" w:hAnsi="Calibri"/>
          <w:sz w:val="22"/>
        </w:rPr>
        <w:t>Spring 2026 (Edwards)</w:t>
      </w:r>
    </w:p>
    <w:p>
      <w:r>
        <w:rPr>
          <w:rFonts w:ascii="Calibri" w:hAnsi="Calibri"/>
          <w:sz w:val="22"/>
        </w:rPr>
        <w:t>10 points possible</w:t>
      </w:r>
    </w:p>
    <w:p/>
    <w:p>
      <w:r>
        <w:rPr>
          <w:rFonts w:ascii="Calibri" w:hAnsi="Calibri"/>
          <w:b/>
          <w:color w:val="0F4761"/>
          <w:sz w:val="22"/>
        </w:rPr>
        <w:t>1. What is this all about?</w:t>
      </w:r>
    </w:p>
    <w:p>
      <w:r>
        <w:rPr>
          <w:rFonts w:ascii="Calibri" w:hAnsi="Calibri"/>
          <w:sz w:val="22"/>
        </w:rPr>
        <w:t>These discussion posts have two purposes: (1) To offer you a chance to reflect on the readings and discussions you had with classmates about them; and (2) To provide you with practice using genAI tools, specifically NotebookLM, to engage with readings. This anticipates work you will likely do with your own students as well as providing you with tools to improve your own reading comprehension.</w:t>
        <w:br/>
        <w:br/>
        <w:t>This Week's Prompts:</w:t>
        <w:br/>
        <w:br/>
        <w:t>Edwards GenAI Article</w:t>
        <w:br/>
        <w:t>Edwards argues that GenAI tools like ChatGPT can help students learn BETTER—but if a student uses AI to write their explanation of a science concept, did THEY actually learn it, or did the AI? Where's the line between "learning tool" and "doing the thinking for them"?</w:t>
      </w:r>
    </w:p>
    <w:p/>
    <w:p>
      <w:r>
        <w:rPr>
          <w:rFonts w:ascii="Calibri" w:hAnsi="Calibri"/>
          <w:b/>
          <w:color w:val="0F4761"/>
          <w:sz w:val="22"/>
        </w:rPr>
        <w:t>2. What do I need to do?</w:t>
      </w:r>
    </w:p>
    <w:p>
      <w:r>
        <w:rPr>
          <w:rFonts w:ascii="Calibri" w:hAnsi="Calibri"/>
          <w:sz w:val="22"/>
        </w:rPr>
        <w:t>Answer the philosophical prompt for the Edwards article, then synthesize with earlier readings.</w:t>
        <w:br/>
        <w:br/>
        <w:t>Part 1: Article Deep-Dive (4 points)</w:t>
        <w:br/>
        <w:br/>
        <w:t>Prompt (Edwards GenAI Article):</w:t>
        <w:br/>
        <w:t>Edwards argues that GenAI tools like ChatGPT can help students learn BETTER—but if a student uses AI to write their explanation of a science concept, did THEY actually learn it, or did the AI? Where's the line between "learning tool" and "doing the thinking for them"?</w:t>
        <w:br/>
        <w:br/>
        <w:t>After responding to your prompt, add:</w:t>
        <w:br/>
        <w:t>• What NotebookLM tool(s) did you use this week? (Audio Overview, Study Guide, Briefing Doc, FAQ, etc.)</w:t>
        <w:br/>
        <w:t>• What's one teaching idea from this article that you want to try? Be specific!</w:t>
        <w:br/>
        <w:br/>
        <w:t>Part 2: AI Synthesis (6 points)</w:t>
        <w:br/>
        <w:br/>
        <w:t>Go to NotebookLM and ask the AI a synthesis question that connects Edwards' article to something from earlier readings. For example: "How might GenAI tools support the 'low floor, high ceiling' tasks Boaler describes?" or "Could GenAI help elicit student ideas (AS Ch 5) or does it replace student thinking?" or "How does GenAI fit with growth mindset teaching (Boaler Ch 9)?"</w:t>
        <w:br/>
        <w:t>Include a screenshot of your question and the AI's response.</w:t>
      </w:r>
    </w:p>
    <w:p/>
    <w:p>
      <w:r>
        <w:rPr>
          <w:rFonts w:ascii="Calibri" w:hAnsi="Calibri"/>
          <w:b/>
          <w:color w:val="0F4761"/>
          <w:sz w:val="22"/>
        </w:rPr>
        <w:t>3. How will my work be assessed? (10 points)</w:t>
      </w:r>
    </w:p>
    <w:p/>
    <w:tbl>
      <w:tblPr>
        <w:tblStyle w:val="LightGrid-Accent1"/>
        <w:tblW w:type="auto" w:w="0"/>
        <w:tblLook w:firstColumn="1" w:firstRow="1" w:lastColumn="0" w:lastRow="0" w:noHBand="0" w:noVBand="1" w:val="04A0"/>
      </w:tblPr>
      <w:tblGrid>
        <w:gridCol w:w="3600"/>
        <w:gridCol w:w="3600"/>
        <w:gridCol w:w="3600"/>
      </w:tblGrid>
      <w:tr>
        <w:tc>
          <w:tcPr>
            <w:tcW w:type="dxa" w:w="3600"/>
          </w:tcPr>
          <w:p>
            <w:r>
              <w:rPr>
                <w:rFonts w:ascii="Calibri" w:hAnsi="Calibri"/>
                <w:b/>
                <w:sz w:val="22"/>
              </w:rPr>
              <w:t>Criterion</w:t>
            </w:r>
          </w:p>
        </w:tc>
        <w:tc>
          <w:tcPr>
            <w:tcW w:type="dxa" w:w="3600"/>
          </w:tcPr>
          <w:p>
            <w:r>
              <w:rPr>
                <w:rFonts w:ascii="Calibri" w:hAnsi="Calibri"/>
                <w:b/>
                <w:sz w:val="22"/>
              </w:rPr>
              <w:t>Points</w:t>
            </w:r>
          </w:p>
        </w:tc>
        <w:tc>
          <w:tcPr>
            <w:tcW w:type="dxa" w:w="3600"/>
          </w:tcPr>
          <w:p>
            <w:r>
              <w:rPr>
                <w:rFonts w:ascii="Calibri" w:hAnsi="Calibri"/>
                <w:b/>
                <w:sz w:val="22"/>
              </w:rPr>
              <w:t>What I'm Looking For</w:t>
            </w:r>
          </w:p>
        </w:tc>
      </w:tr>
      <w:tr>
        <w:tc>
          <w:tcPr>
            <w:tcW w:type="dxa" w:w="3600"/>
          </w:tcPr>
          <w:p>
            <w:r>
              <w:rPr>
                <w:rFonts w:ascii="Calibri" w:hAnsi="Calibri"/>
                <w:sz w:val="22"/>
              </w:rPr>
              <w:t>Article deep-dive</w:t>
            </w:r>
          </w:p>
        </w:tc>
        <w:tc>
          <w:tcPr>
            <w:tcW w:type="dxa" w:w="3600"/>
          </w:tcPr>
          <w:p>
            <w:r>
              <w:rPr>
                <w:rFonts w:ascii="Calibri" w:hAnsi="Calibri"/>
                <w:sz w:val="22"/>
              </w:rPr>
              <w:t>4</w:t>
            </w:r>
          </w:p>
        </w:tc>
        <w:tc>
          <w:tcPr>
            <w:tcW w:type="dxa" w:w="3600"/>
          </w:tcPr>
          <w:p>
            <w:r>
              <w:rPr>
                <w:rFonts w:ascii="Calibri" w:hAnsi="Calibri"/>
                <w:sz w:val="22"/>
              </w:rPr>
              <w:t>Thoughtful response to philosophical prompt + specific NotebookLM tools used + concrete teaching idea from article</w:t>
            </w:r>
          </w:p>
        </w:tc>
      </w:tr>
      <w:tr>
        <w:tc>
          <w:tcPr>
            <w:tcW w:type="dxa" w:w="3600"/>
          </w:tcPr>
          <w:p>
            <w:r>
              <w:rPr>
                <w:rFonts w:ascii="Calibri" w:hAnsi="Calibri"/>
                <w:sz w:val="22"/>
              </w:rPr>
              <w:t>AI synthesis</w:t>
            </w:r>
          </w:p>
        </w:tc>
        <w:tc>
          <w:tcPr>
            <w:tcW w:type="dxa" w:w="3600"/>
          </w:tcPr>
          <w:p>
            <w:r>
              <w:rPr>
                <w:rFonts w:ascii="Calibri" w:hAnsi="Calibri"/>
                <w:sz w:val="22"/>
              </w:rPr>
              <w:t>6</w:t>
            </w:r>
          </w:p>
        </w:tc>
        <w:tc>
          <w:tcPr>
            <w:tcW w:type="dxa" w:w="3600"/>
          </w:tcPr>
          <w:p>
            <w:r>
              <w:rPr>
                <w:rFonts w:ascii="Calibri" w:hAnsi="Calibri"/>
                <w:sz w:val="22"/>
              </w:rPr>
              <w:t>Synthesis question connecting Edwards to earlier readings + screenshot of NotebookLM response</w:t>
            </w:r>
          </w:p>
        </w:tc>
      </w:tr>
    </w:tbl>
    <w:p/>
    <w:p>
      <w:r>
        <w:rPr>
          <w:rFonts w:ascii="Calibri" w:hAnsi="Calibri"/>
          <w:b/>
          <w:color w:val="0F4761"/>
          <w:sz w:val="22"/>
        </w:rPr>
        <w:t>4. Submission</w:t>
      </w:r>
    </w:p>
    <w:p>
      <w:r>
        <w:rPr>
          <w:rFonts w:ascii="Calibri" w:hAnsi="Calibri"/>
          <w:sz w:val="22"/>
        </w:rPr>
        <w:t>Submit your work to Canvas.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