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12</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7: From Tracking to Growth Mindset Grouping</w:t>
      </w:r>
      <w:r>
        <w:t xml:space="preserve"> </w:t>
      </w:r>
      <w:r>
        <w:t xml:space="preserve">This chapter examines the harmful effects of ability grouping and presents alternative approaches that support all students’ mathematical growth.</w:t>
      </w:r>
    </w:p>
    <w:p>
      <w:pPr>
        <w:pStyle w:val="BodyText"/>
      </w:pPr>
      <w:r>
        <w:rPr>
          <w:bCs/>
          <w:b/>
        </w:rPr>
        <w:t xml:space="preserve">Ambitious Science Teaching, Chapter 4: Planning and Carrying Out Investigations</w:t>
      </w:r>
      <w:r>
        <w:t xml:space="preserve"> </w:t>
      </w:r>
      <w:r>
        <w:t xml:space="preserve">This chapter provides guidance for designing and facilitating student-led scientific investigations that generate meaningful data for analysis.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