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assignment-08-revised-field-lesson-unit"/>
    <w:p>
      <w:pPr>
        <w:pStyle w:val="Heading1"/>
      </w:pPr>
      <w:r>
        <w:t xml:space="preserve">Assignment 08: Revised Field Lesson Unit</w:t>
      </w:r>
    </w:p>
    <w:p>
      <w:pPr>
        <w:pStyle w:val="FirstParagraph"/>
      </w:pPr>
      <w:r>
        <w:rPr>
          <w:b/>
          <w:bCs/>
        </w:rPr>
        <w:t xml:space="preserve">Total Points:</w:t>
      </w:r>
      <w:r>
        <w:t xml:space="preserve"> </w:t>
      </w:r>
      <w:r>
        <w:t xml:space="preserve">50</w:t>
      </w:r>
      <w:r>
        <w:br/>
      </w:r>
      <w:r>
        <w:rPr>
          <w:b/>
          <w:bCs/>
        </w:rPr>
        <w:t xml:space="preserve">Due Date:</w:t>
      </w:r>
      <w:r>
        <w:t xml:space="preserve"> </w:t>
      </w:r>
      <w:r>
        <w:t xml:space="preserve">Monday, May 11, 11:59 PM (Finals Week)</w:t>
      </w:r>
    </w:p>
    <w:bookmarkStart w:id="9" w:name="overview"/>
    <w:p>
      <w:pPr>
        <w:pStyle w:val="Heading2"/>
      </w:pPr>
      <w:r>
        <w:t xml:space="preserve">Overview</w:t>
      </w:r>
    </w:p>
    <w:p>
      <w:pPr>
        <w:pStyle w:val="FirstParagraph"/>
      </w:pPr>
      <w:r>
        <w:t xml:space="preserve">This is your culminating project for the semester: a polished set of three inquiry lessons from your field placement, revised based on peer feedback, workshop experiences, and your growing understanding of inquiry teaching. This unit represents your growth as a teacher and demonstrates your ability to design and refine high-quality inquiry lessons.</w:t>
      </w:r>
    </w:p>
    <w:bookmarkEnd w:id="9"/>
    <w:bookmarkStart w:id="13" w:name="components"/>
    <w:p>
      <w:pPr>
        <w:pStyle w:val="Heading2"/>
      </w:pPr>
      <w:r>
        <w:t xml:space="preserve">Components</w:t>
      </w:r>
    </w:p>
    <w:p>
      <w:pPr>
        <w:pStyle w:val="FirstParagraph"/>
      </w:pPr>
      <w:r>
        <w:t xml:space="preserve">This assignment has three interconnected components:</w:t>
      </w:r>
    </w:p>
    <w:bookmarkStart w:id="10" w:name="Xf71fa708f099813fd0af2b5ab6c6d78754fdb36"/>
    <w:p>
      <w:pPr>
        <w:pStyle w:val="Heading3"/>
      </w:pPr>
      <w:r>
        <w:t xml:space="preserve">Component 1: Three Revised Lessons (30 points, 10 points each)</w:t>
      </w:r>
    </w:p>
    <w:p>
      <w:pPr>
        <w:pStyle w:val="FirstParagraph"/>
      </w:pPr>
      <w:r>
        <w:t xml:space="preserve">Submit three complete, polished lesson plans.</w:t>
      </w:r>
      <w:r>
        <w:t xml:space="preserve"> </w:t>
      </w:r>
      <w:r>
        <w:rPr>
          <w:b/>
          <w:bCs/>
        </w:rPr>
        <w:t xml:space="preserve">Each lesson will be the showcase for one workshop lens:</w:t>
      </w:r>
    </w:p>
    <w:tbl>
      <w:tblPr>
        <w:tblStyle w:val="Table"/>
        <w:tblW w:type="pct" w:w="5000"/>
        <w:tblLayout w:type="fixed"/>
        <w:tblLook w:firstRow="1" w:lastRow="0" w:firstColumn="0" w:lastColumn="0" w:noHBand="0" w:noVBand="0" w:val="0020"/>
      </w:tblPr>
      <w:tblGrid>
        <w:gridCol w:w="1584"/>
        <w:gridCol w:w="2970"/>
        <w:gridCol w:w="3366"/>
      </w:tblGrid>
      <w:tr>
        <w:trPr>
          <w:tblHeader w:val="on"/>
        </w:trPr>
        <w:tc>
          <w:tcPr/>
          <w:p>
            <w:pPr>
              <w:pStyle w:val="Compact"/>
            </w:pPr>
            <w:r>
              <w:t xml:space="preserve">Lesson</w:t>
            </w:r>
          </w:p>
        </w:tc>
        <w:tc>
          <w:tcPr/>
          <w:p>
            <w:pPr>
              <w:pStyle w:val="Compact"/>
            </w:pPr>
            <w:r>
              <w:t xml:space="preserve">Showcase Lens</w:t>
            </w:r>
          </w:p>
        </w:tc>
        <w:tc>
          <w:tcPr/>
          <w:p>
            <w:pPr>
              <w:pStyle w:val="Compact"/>
            </w:pPr>
            <w:r>
              <w:t xml:space="preserve">What This Means</w:t>
            </w:r>
          </w:p>
        </w:tc>
      </w:tr>
      <w:tr>
        <w:tc>
          <w:tcPr/>
          <w:p>
            <w:pPr>
              <w:pStyle w:val="Compact"/>
            </w:pPr>
            <w:r>
              <w:rPr>
                <w:b/>
                <w:bCs/>
              </w:rPr>
              <w:t xml:space="preserve">Lesson A</w:t>
            </w:r>
          </w:p>
        </w:tc>
        <w:tc>
          <w:tcPr/>
          <w:p>
            <w:pPr>
              <w:pStyle w:val="Compact"/>
            </w:pPr>
            <w:r>
              <w:t xml:space="preserve">Technology &amp; Resources</w:t>
            </w:r>
          </w:p>
        </w:tc>
        <w:tc>
          <w:tcPr/>
          <w:p>
            <w:pPr>
              <w:pStyle w:val="Compact"/>
            </w:pPr>
            <w:r>
              <w:t xml:space="preserve">This lesson demonstrates thoughtful tech integration that reveals or amplifies student thinking</w:t>
            </w:r>
          </w:p>
        </w:tc>
      </w:tr>
      <w:tr>
        <w:tc>
          <w:tcPr/>
          <w:p>
            <w:pPr>
              <w:pStyle w:val="Compact"/>
            </w:pPr>
            <w:r>
              <w:rPr>
                <w:b/>
                <w:bCs/>
              </w:rPr>
              <w:t xml:space="preserve">Lesson B</w:t>
            </w:r>
          </w:p>
        </w:tc>
        <w:tc>
          <w:tcPr/>
          <w:p>
            <w:pPr>
              <w:pStyle w:val="Compact"/>
            </w:pPr>
            <w:r>
              <w:t xml:space="preserve">Differentiation</w:t>
            </w:r>
          </w:p>
        </w:tc>
        <w:tc>
          <w:tcPr/>
          <w:p>
            <w:pPr>
              <w:pStyle w:val="Compact"/>
            </w:pPr>
            <w:r>
              <w:t xml:space="preserve">This lesson demonstrates how you provide access to challenge for diverse learners</w:t>
            </w:r>
          </w:p>
        </w:tc>
      </w:tr>
      <w:tr>
        <w:tc>
          <w:tcPr/>
          <w:p>
            <w:pPr>
              <w:pStyle w:val="Compact"/>
            </w:pPr>
            <w:r>
              <w:rPr>
                <w:b/>
                <w:bCs/>
              </w:rPr>
              <w:t xml:space="preserve">Lesson C</w:t>
            </w:r>
          </w:p>
        </w:tc>
        <w:tc>
          <w:tcPr/>
          <w:p>
            <w:pPr>
              <w:pStyle w:val="Compact"/>
            </w:pPr>
            <w:r>
              <w:t xml:space="preserve">Discourse &amp; Questioning</w:t>
            </w:r>
          </w:p>
        </w:tc>
        <w:tc>
          <w:tcPr/>
          <w:p>
            <w:pPr>
              <w:pStyle w:val="Compact"/>
            </w:pPr>
            <w:r>
              <w:t xml:space="preserve">This lesson demonstrates talk moves, questioning strategies, and structures that deepen student reasoning</w:t>
            </w:r>
          </w:p>
        </w:tc>
      </w:tr>
    </w:tbl>
    <w:p>
      <w:pPr>
        <w:pStyle w:val="BodyText"/>
      </w:pPr>
      <w:r>
        <w:rPr>
          <w:b/>
          <w:bCs/>
        </w:rPr>
        <w:t xml:space="preserve">You decide which of your three field lessons becomes A, B, and C.</w:t>
      </w:r>
      <w:r>
        <w:t xml:space="preserve"> </w:t>
      </w:r>
      <w:r>
        <w:t xml:space="preserve">Choose the mapping that makes sense — some lessons naturally invite technology, others have rich discussion moments, etc.</w:t>
      </w:r>
    </w:p>
    <w:p>
      <w:pPr>
        <w:pStyle w:val="BodyText"/>
      </w:pPr>
      <w:r>
        <w:t xml:space="preserve">You may revise all lessons in any way you see fit, but in your unit rationale, clearly identify which lesson is your showcase for each lens and explain the specific revisions you made.</w:t>
      </w:r>
    </w:p>
    <w:p>
      <w:pPr>
        <w:pStyle w:val="BodyText"/>
      </w:pPr>
      <w:r>
        <w:rPr>
          <w:b/>
          <w:bCs/>
        </w:rPr>
        <w:t xml:space="preserve">What</w:t>
      </w:r>
      <w:r>
        <w:rPr>
          <w:b/>
          <w:bCs/>
        </w:rPr>
        <w:t xml:space="preserve"> </w:t>
      </w:r>
      <w:r>
        <w:rPr>
          <w:b/>
          <w:bCs/>
        </w:rPr>
        <w:t xml:space="preserve">“complete and polished”</w:t>
      </w:r>
      <w:r>
        <w:rPr>
          <w:b/>
          <w:bCs/>
        </w:rPr>
        <w:t xml:space="preserve"> </w:t>
      </w:r>
      <w:r>
        <w:rPr>
          <w:b/>
          <w:bCs/>
        </w:rPr>
        <w:t xml:space="preserve">means:</w:t>
      </w:r>
      <w:r>
        <w:t xml:space="preserve"> </w:t>
      </w:r>
      <w:r>
        <w:t xml:space="preserve">- Clear learning objectives aligned to standards</w:t>
      </w:r>
      <w:r>
        <w:t xml:space="preserve"> </w:t>
      </w:r>
      <w:r>
        <w:t xml:space="preserve">- Detailed lesson procedures that another teacher could follow</w:t>
      </w:r>
      <w:r>
        <w:t xml:space="preserve"> </w:t>
      </w:r>
      <w:r>
        <w:t xml:space="preserve">- All materials/resources included or clearly referenced</w:t>
      </w:r>
      <w:r>
        <w:t xml:space="preserve"> </w:t>
      </w:r>
      <w:r>
        <w:t xml:space="preserve">- Formative assessment strategies integrated throughout</w:t>
      </w:r>
      <w:r>
        <w:t xml:space="preserve"> </w:t>
      </w:r>
      <w:r>
        <w:t xml:space="preserve">- The showcase lens is evident and well-developed</w:t>
      </w:r>
      <w:r>
        <w:t xml:space="preserve"> </w:t>
      </w:r>
      <w:r>
        <w:t xml:space="preserve">- Estimated timing for each lesson component</w:t>
      </w:r>
    </w:p>
    <w:p>
      <w:pPr>
        <w:pStyle w:val="BodyText"/>
      </w:pPr>
      <w:r>
        <w:rPr>
          <w:b/>
          <w:bCs/>
        </w:rPr>
        <w:t xml:space="preserve">Format:</w:t>
      </w:r>
      <w:r>
        <w:t xml:space="preserve"> </w:t>
      </w:r>
      <w:r>
        <w:t xml:space="preserve">Use the lesson plan template we’ve been working with all semester. Consistency matters here.</w:t>
      </w:r>
    </w:p>
    <w:bookmarkEnd w:id="10"/>
    <w:bookmarkStart w:id="11" w:name="component-2-unit-rationale-10-points"/>
    <w:p>
      <w:pPr>
        <w:pStyle w:val="Heading3"/>
      </w:pPr>
      <w:r>
        <w:t xml:space="preserve">Component 2: Unit Rationale (10 points)</w:t>
      </w:r>
    </w:p>
    <w:p>
      <w:pPr>
        <w:pStyle w:val="FirstParagraph"/>
      </w:pPr>
      <w:r>
        <w:t xml:space="preserve">Write a 4-5 page rationale that positions your three lessons within your developing teaching philosophy and demonstrates your understanding of inquiry teaching. Address:</w:t>
      </w:r>
    </w:p>
    <w:p>
      <w:pPr>
        <w:pStyle w:val="BodyText"/>
      </w:pPr>
      <w:r>
        <w:rPr>
          <w:b/>
          <w:bCs/>
        </w:rPr>
        <w:t xml:space="preserve">1. Unit Overview and Context</w:t>
      </w:r>
      <w:r>
        <w:t xml:space="preserve"> </w:t>
      </w:r>
      <w:r>
        <w:t xml:space="preserve">- What mathematical/scientific concepts do these three lessons address?</w:t>
      </w:r>
      <w:r>
        <w:t xml:space="preserve"> </w:t>
      </w:r>
      <w:r>
        <w:t xml:space="preserve">- How do they connect to each other and build on each other?</w:t>
      </w:r>
      <w:r>
        <w:t xml:space="preserve"> </w:t>
      </w:r>
      <w:r>
        <w:t xml:space="preserve">- What was the context of your field placement? (grade level, school setting, student population)</w:t>
      </w:r>
      <w:r>
        <w:t xml:space="preserve"> </w:t>
      </w:r>
      <w:r>
        <w:t xml:space="preserve">- Where do these lessons fit within the broader curriculum?</w:t>
      </w:r>
    </w:p>
    <w:p>
      <w:pPr>
        <w:pStyle w:val="BodyText"/>
      </w:pPr>
      <w:r>
        <w:rPr>
          <w:b/>
          <w:bCs/>
        </w:rPr>
        <w:t xml:space="preserve">2. Inquiry Framework</w:t>
      </w:r>
      <w:r>
        <w:t xml:space="preserve"> </w:t>
      </w:r>
      <w:r>
        <w:t xml:space="preserve">- How do your lessons embody key dimensions of inquiry teaching?</w:t>
      </w:r>
      <w:r>
        <w:t xml:space="preserve"> </w:t>
      </w:r>
      <w:r>
        <w:t xml:space="preserve">- Reference specific frameworks from course readings (Banchi &amp; Bell, Michaels &amp; O’Connor, Ambitious Science Teaching, Boaler, etc.)</w:t>
      </w:r>
      <w:r>
        <w:t xml:space="preserve"> </w:t>
      </w:r>
      <w:r>
        <w:t xml:space="preserve">- Provide concrete examples from your lessons that demonstrate inquiry dimensions</w:t>
      </w:r>
      <w:r>
        <w:t xml:space="preserve"> </w:t>
      </w:r>
      <w:r>
        <w:t xml:space="preserve">- How did your understanding of inquiry evolve through the revision process?</w:t>
      </w:r>
    </w:p>
    <w:p>
      <w:pPr>
        <w:pStyle w:val="BodyText"/>
      </w:pPr>
      <w:r>
        <w:rPr>
          <w:b/>
          <w:bCs/>
        </w:rPr>
        <w:t xml:space="preserve">3. Revision Journey</w:t>
      </w:r>
      <w:r>
        <w:t xml:space="preserve"> </w:t>
      </w:r>
      <w:r>
        <w:t xml:space="preserve">- What were the most significant changes you made from initial field teaching to final versions?</w:t>
      </w:r>
      <w:r>
        <w:t xml:space="preserve"> </w:t>
      </w:r>
      <w:r>
        <w:t xml:space="preserve">- How did peer feedback influence your revisions?</w:t>
      </w:r>
      <w:r>
        <w:t xml:space="preserve"> </w:t>
      </w:r>
      <w:r>
        <w:t xml:space="preserve">- What did you learn through the workshop process?</w:t>
      </w:r>
      <w:r>
        <w:t xml:space="preserve"> </w:t>
      </w:r>
      <w:r>
        <w:t xml:space="preserve">- What trade-offs or challenges did you navigate in your revisions?</w:t>
      </w:r>
    </w:p>
    <w:p>
      <w:pPr>
        <w:pStyle w:val="BodyText"/>
      </w:pPr>
      <w:r>
        <w:rPr>
          <w:b/>
          <w:bCs/>
        </w:rPr>
        <w:t xml:space="preserve">4. Looking Forward</w:t>
      </w:r>
      <w:r>
        <w:t xml:space="preserve"> </w:t>
      </w:r>
      <w:r>
        <w:t xml:space="preserve">- How will you continue developing these lessons in your future teaching?</w:t>
      </w:r>
      <w:r>
        <w:t xml:space="preserve"> </w:t>
      </w:r>
      <w:r>
        <w:t xml:space="preserve">- What questions or uncertainties remain?</w:t>
      </w:r>
      <w:r>
        <w:t xml:space="preserve"> </w:t>
      </w:r>
      <w:r>
        <w:t xml:space="preserve">- What principles from this revision process will you carry into your next unit design?</w:t>
      </w:r>
    </w:p>
    <w:p>
      <w:pPr>
        <w:pStyle w:val="BodyText"/>
      </w:pPr>
      <w:r>
        <w:rPr>
          <w:b/>
          <w:bCs/>
        </w:rPr>
        <w:t xml:space="preserve">Format:</w:t>
      </w:r>
      <w:r>
        <w:t xml:space="preserve"> </w:t>
      </w:r>
      <w:r>
        <w:t xml:space="preserve">Standard academic paper format (1-inch margins, 12pt font, double-spaced). Use APA or your preferred citation style for references to course readings.</w:t>
      </w:r>
    </w:p>
    <w:bookmarkEnd w:id="11"/>
    <w:bookmarkStart w:id="12" w:name="Xbfb3c50286ad1805b16388136a644202e9ffb68"/>
    <w:p>
      <w:pPr>
        <w:pStyle w:val="Heading3"/>
      </w:pPr>
      <w:r>
        <w:t xml:space="preserve">Component 3: Engagement Showcase (10 points)</w:t>
      </w:r>
    </w:p>
    <w:p>
      <w:pPr>
        <w:pStyle w:val="FirstParagraph"/>
      </w:pPr>
      <w:r>
        <w:t xml:space="preserve">During Week 14 (May 6 &amp; May 8), you’ll teach a 10-13 minute segment from one of your revised lessons to the class. This is your opportunity to:</w:t>
      </w:r>
      <w:r>
        <w:t xml:space="preserve"> </w:t>
      </w:r>
      <w:r>
        <w:t xml:space="preserve">- Bring the class into an inquiry experience</w:t>
      </w:r>
      <w:r>
        <w:t xml:space="preserve"> </w:t>
      </w:r>
      <w:r>
        <w:t xml:space="preserve">- Demonstrate key pedagogical moves you’ve refined</w:t>
      </w:r>
      <w:r>
        <w:t xml:space="preserve"> </w:t>
      </w:r>
      <w:r>
        <w:t xml:space="preserve">- Get formative feedback before final submission</w:t>
      </w:r>
      <w:r>
        <w:t xml:space="preserve"> </w:t>
      </w:r>
      <w:r>
        <w:t xml:space="preserve">- Practice facilitating inquiry with an engaged group</w:t>
      </w:r>
    </w:p>
    <w:p>
      <w:pPr>
        <w:pStyle w:val="BodyText"/>
      </w:pPr>
      <w:r>
        <w:rPr>
          <w:b/>
          <w:bCs/>
        </w:rPr>
        <w:t xml:space="preserve">What to prepare:</w:t>
      </w:r>
      <w:r>
        <w:t xml:space="preserve"> </w:t>
      </w:r>
      <w:r>
        <w:t xml:space="preserve">- Choose a</w:t>
      </w:r>
      <w:r>
        <w:t xml:space="preserve"> </w:t>
      </w:r>
      <w:r>
        <w:t xml:space="preserve">“juicy”</w:t>
      </w:r>
      <w:r>
        <w:t xml:space="preserve"> </w:t>
      </w:r>
      <w:r>
        <w:t xml:space="preserve">10-13 minute segment that showcases inquiry teaching</w:t>
      </w:r>
      <w:r>
        <w:t xml:space="preserve"> </w:t>
      </w:r>
      <w:r>
        <w:t xml:space="preserve">- Prepare any materials or technology you’ll need</w:t>
      </w:r>
      <w:r>
        <w:t xml:space="preserve"> </w:t>
      </w:r>
      <w:r>
        <w:t xml:space="preserve">- Be ready to engage the class as your</w:t>
      </w:r>
      <w:r>
        <w:t xml:space="preserve"> </w:t>
      </w:r>
      <w:r>
        <w:t xml:space="preserve">“students”</w:t>
      </w:r>
      <w:r>
        <w:t xml:space="preserve"> </w:t>
      </w:r>
      <w:r>
        <w:t xml:space="preserve">- Plan to facilitate, not just present</w:t>
      </w:r>
    </w:p>
    <w:p>
      <w:pPr>
        <w:pStyle w:val="BodyText"/>
      </w:pPr>
      <w:r>
        <w:rPr>
          <w:b/>
          <w:bCs/>
        </w:rPr>
        <w:t xml:space="preserve">Evaluation:</w:t>
      </w:r>
      <w:r>
        <w:t xml:space="preserve"> </w:t>
      </w:r>
      <w:r>
        <w:t xml:space="preserve">- Did you engage the class in an inquiry experience? (4 points)</w:t>
      </w:r>
      <w:r>
        <w:t xml:space="preserve"> </w:t>
      </w:r>
      <w:r>
        <w:t xml:space="preserve">- Did you demonstrate clear pedagogical moves? (4 points)</w:t>
      </w:r>
      <w:r>
        <w:br/>
      </w:r>
      <w:r>
        <w:t xml:space="preserve">- Did you stay within time limit and show preparation? (2 points)</w:t>
      </w:r>
    </w:p>
    <w:p>
      <w:pPr>
        <w:pStyle w:val="BodyText"/>
      </w:pPr>
      <w:r>
        <w:t xml:space="preserve">This is a supportive, formative experience. The goal is to practice teaching and get helpful feedback, not to perform perfectly.</w:t>
      </w:r>
    </w:p>
    <w:bookmarkEnd w:id="12"/>
    <w:bookmarkEnd w:id="13"/>
    <w:bookmarkStart w:id="14" w:name="submission-requirements"/>
    <w:p>
      <w:pPr>
        <w:pStyle w:val="Heading2"/>
      </w:pPr>
      <w:r>
        <w:t xml:space="preserve">Submission Requirements</w:t>
      </w:r>
    </w:p>
    <w:p>
      <w:pPr>
        <w:pStyle w:val="FirstParagraph"/>
      </w:pPr>
      <w:r>
        <w:t xml:space="preserve">Submit a single PDF containing:</w:t>
      </w:r>
      <w:r>
        <w:t xml:space="preserve"> </w:t>
      </w:r>
      <w:r>
        <w:t xml:space="preserve">1.</w:t>
      </w:r>
      <w:r>
        <w:t xml:space="preserve"> </w:t>
      </w:r>
      <w:r>
        <w:rPr>
          <w:b/>
          <w:bCs/>
        </w:rPr>
        <w:t xml:space="preserve">Cover page</w:t>
      </w:r>
      <w:r>
        <w:t xml:space="preserve"> </w:t>
      </w:r>
      <w:r>
        <w:t xml:space="preserve">with your name, date, and field placement context</w:t>
      </w:r>
      <w:r>
        <w:t xml:space="preserve"> </w:t>
      </w:r>
      <w:r>
        <w:t xml:space="preserve">2.</w:t>
      </w:r>
      <w:r>
        <w:t xml:space="preserve"> </w:t>
      </w:r>
      <w:r>
        <w:rPr>
          <w:b/>
          <w:bCs/>
        </w:rPr>
        <w:t xml:space="preserve">Unit rationale</w:t>
      </w:r>
      <w:r>
        <w:t xml:space="preserve"> </w:t>
      </w:r>
      <w:r>
        <w:t xml:space="preserve">(4-5 pages)</w:t>
      </w:r>
      <w:r>
        <w:t xml:space="preserve"> </w:t>
      </w:r>
      <w:r>
        <w:t xml:space="preserve">3.</w:t>
      </w:r>
      <w:r>
        <w:t xml:space="preserve"> </w:t>
      </w:r>
      <w:r>
        <w:rPr>
          <w:b/>
          <w:bCs/>
        </w:rPr>
        <w:t xml:space="preserve">Three complete lesson plans</w:t>
      </w:r>
      <w:r>
        <w:t xml:space="preserve"> </w:t>
      </w:r>
      <w:r>
        <w:t xml:space="preserve">(each lesson will vary in length, but expect 8-15 pages total for all three)</w:t>
      </w:r>
      <w:r>
        <w:t xml:space="preserve"> </w:t>
      </w:r>
      <w:r>
        <w:t xml:space="preserve">4.</w:t>
      </w:r>
      <w:r>
        <w:t xml:space="preserve"> </w:t>
      </w:r>
      <w:r>
        <w:rPr>
          <w:b/>
          <w:bCs/>
        </w:rPr>
        <w:t xml:space="preserve">Appendices</w:t>
      </w:r>
      <w:r>
        <w:t xml:space="preserve"> </w:t>
      </w:r>
      <w:r>
        <w:t xml:space="preserve">(if needed): student handouts, assessments, supporting materials</w:t>
      </w:r>
    </w:p>
    <w:p>
      <w:pPr>
        <w:pStyle w:val="BodyText"/>
      </w:pPr>
      <w:r>
        <w:rPr>
          <w:b/>
          <w:bCs/>
        </w:rPr>
        <w:t xml:space="preserve">File naming:</w:t>
      </w:r>
      <w:r>
        <w:t xml:space="preserve"> </w:t>
      </w:r>
      <w:r>
        <w:rPr>
          <w:rStyle w:val="VerbatimChar"/>
        </w:rPr>
        <w:t xml:space="preserve">LastName_A08_RevisedUnit.pdf</w:t>
      </w:r>
    </w:p>
    <w:p>
      <w:pPr>
        <w:pStyle w:val="BodyText"/>
      </w:pPr>
      <w:r>
        <w:rPr>
          <w:b/>
          <w:bCs/>
        </w:rPr>
        <w:t xml:space="preserve">Where to submit:</w:t>
      </w:r>
      <w:r>
        <w:t xml:space="preserve"> </w:t>
      </w:r>
      <w:r>
        <w:t xml:space="preserve">Canvas assignment page for A08</w:t>
      </w:r>
    </w:p>
    <w:bookmarkEnd w:id="14"/>
    <w:bookmarkStart w:id="18" w:name="evaluation-criteria"/>
    <w:p>
      <w:pPr>
        <w:pStyle w:val="Heading2"/>
      </w:pPr>
      <w:r>
        <w:t xml:space="preserve">Evaluation Criteria</w:t>
      </w:r>
    </w:p>
    <w:bookmarkStart w:id="15" w:name="revised-lessons-15-points"/>
    <w:p>
      <w:pPr>
        <w:pStyle w:val="Heading3"/>
      </w:pPr>
      <w:r>
        <w:t xml:space="preserve">Revised Lessons (15 points)</w:t>
      </w:r>
    </w:p>
    <w:p>
      <w:pPr>
        <w:pStyle w:val="Compact"/>
        <w:numPr>
          <w:ilvl w:val="0"/>
          <w:numId w:val="1001"/>
        </w:numPr>
      </w:pPr>
      <w:r>
        <w:rPr>
          <w:b/>
          <w:bCs/>
        </w:rPr>
        <w:t xml:space="preserve">Completeness and polish</w:t>
      </w:r>
      <w:r>
        <w:t xml:space="preserve"> </w:t>
      </w:r>
      <w:r>
        <w:t xml:space="preserve">(5 points): All lessons are thorough, well-organized, and professionally presented</w:t>
      </w:r>
    </w:p>
    <w:p>
      <w:pPr>
        <w:pStyle w:val="Compact"/>
        <w:numPr>
          <w:ilvl w:val="0"/>
          <w:numId w:val="1001"/>
        </w:numPr>
      </w:pPr>
      <w:r>
        <w:rPr>
          <w:b/>
          <w:bCs/>
        </w:rPr>
        <w:t xml:space="preserve">Inquiry depth</w:t>
      </w:r>
      <w:r>
        <w:t xml:space="preserve"> </w:t>
      </w:r>
      <w:r>
        <w:t xml:space="preserve">(5 points): Lessons demonstrate sophisticated understanding of inquiry teaching across multiple dimensions</w:t>
      </w:r>
    </w:p>
    <w:p>
      <w:pPr>
        <w:pStyle w:val="Compact"/>
        <w:numPr>
          <w:ilvl w:val="0"/>
          <w:numId w:val="1001"/>
        </w:numPr>
      </w:pPr>
      <w:r>
        <w:rPr>
          <w:b/>
          <w:bCs/>
        </w:rPr>
        <w:t xml:space="preserve">Integration of feedback</w:t>
      </w:r>
      <w:r>
        <w:t xml:space="preserve"> </w:t>
      </w:r>
      <w:r>
        <w:t xml:space="preserve">(5 points): Clear evidence that workshop feedback and peer review shaped meaningful revisions</w:t>
      </w:r>
    </w:p>
    <w:bookmarkEnd w:id="15"/>
    <w:bookmarkStart w:id="16" w:name="unit-rationale-15-points"/>
    <w:p>
      <w:pPr>
        <w:pStyle w:val="Heading3"/>
      </w:pPr>
      <w:r>
        <w:t xml:space="preserve">Unit Rationale (15 points)</w:t>
      </w:r>
    </w:p>
    <w:p>
      <w:pPr>
        <w:pStyle w:val="Compact"/>
        <w:numPr>
          <w:ilvl w:val="0"/>
          <w:numId w:val="1002"/>
        </w:numPr>
      </w:pPr>
      <w:r>
        <w:rPr>
          <w:b/>
          <w:bCs/>
        </w:rPr>
        <w:t xml:space="preserve">Unit coherence</w:t>
      </w:r>
      <w:r>
        <w:t xml:space="preserve"> </w:t>
      </w:r>
      <w:r>
        <w:t xml:space="preserve">(3 points): Lessons connect to each other and build toward meaningful learning</w:t>
      </w:r>
    </w:p>
    <w:p>
      <w:pPr>
        <w:pStyle w:val="Compact"/>
        <w:numPr>
          <w:ilvl w:val="0"/>
          <w:numId w:val="1002"/>
        </w:numPr>
      </w:pPr>
      <w:r>
        <w:rPr>
          <w:b/>
          <w:bCs/>
        </w:rPr>
        <w:t xml:space="preserve">Theoretical grounding</w:t>
      </w:r>
      <w:r>
        <w:t xml:space="preserve"> </w:t>
      </w:r>
      <w:r>
        <w:t xml:space="preserve">(5 points): Strong connections to course frameworks and readings with specific examples</w:t>
      </w:r>
    </w:p>
    <w:p>
      <w:pPr>
        <w:pStyle w:val="Compact"/>
        <w:numPr>
          <w:ilvl w:val="0"/>
          <w:numId w:val="1002"/>
        </w:numPr>
      </w:pPr>
      <w:r>
        <w:rPr>
          <w:b/>
          <w:bCs/>
        </w:rPr>
        <w:t xml:space="preserve">Reflection depth</w:t>
      </w:r>
      <w:r>
        <w:t xml:space="preserve"> </w:t>
      </w:r>
      <w:r>
        <w:t xml:space="preserve">(4 points): Thoughtful analysis of revision journey and growth as teacher</w:t>
      </w:r>
    </w:p>
    <w:p>
      <w:pPr>
        <w:pStyle w:val="Compact"/>
        <w:numPr>
          <w:ilvl w:val="0"/>
          <w:numId w:val="1002"/>
        </w:numPr>
      </w:pPr>
      <w:r>
        <w:rPr>
          <w:b/>
          <w:bCs/>
        </w:rPr>
        <w:t xml:space="preserve">Writing quality</w:t>
      </w:r>
      <w:r>
        <w:t xml:space="preserve"> </w:t>
      </w:r>
      <w:r>
        <w:t xml:space="preserve">(3 points): Clear, organized, professional academic writing</w:t>
      </w:r>
    </w:p>
    <w:bookmarkEnd w:id="16"/>
    <w:bookmarkStart w:id="17" w:name="engagement-showcase-5-points"/>
    <w:p>
      <w:pPr>
        <w:pStyle w:val="Heading3"/>
      </w:pPr>
      <w:r>
        <w:t xml:space="preserve">Engagement Showcase (5 points)</w:t>
      </w:r>
    </w:p>
    <w:p>
      <w:pPr>
        <w:pStyle w:val="Compact"/>
        <w:numPr>
          <w:ilvl w:val="0"/>
          <w:numId w:val="1003"/>
        </w:numPr>
      </w:pPr>
      <w:r>
        <w:rPr>
          <w:b/>
          <w:bCs/>
        </w:rPr>
        <w:t xml:space="preserve">Inquiry facilitation</w:t>
      </w:r>
      <w:r>
        <w:t xml:space="preserve"> </w:t>
      </w:r>
      <w:r>
        <w:t xml:space="preserve">(2 points): Successfully engaged class in inquiry experience</w:t>
      </w:r>
    </w:p>
    <w:p>
      <w:pPr>
        <w:pStyle w:val="Compact"/>
        <w:numPr>
          <w:ilvl w:val="0"/>
          <w:numId w:val="1003"/>
        </w:numPr>
      </w:pPr>
      <w:r>
        <w:rPr>
          <w:b/>
          <w:bCs/>
        </w:rPr>
        <w:t xml:space="preserve">Pedagogical moves</w:t>
      </w:r>
      <w:r>
        <w:t xml:space="preserve"> </w:t>
      </w:r>
      <w:r>
        <w:t xml:space="preserve">(2 points): Demonstrated clear teaching strategies</w:t>
      </w:r>
    </w:p>
    <w:p>
      <w:pPr>
        <w:pStyle w:val="Compact"/>
        <w:numPr>
          <w:ilvl w:val="0"/>
          <w:numId w:val="1003"/>
        </w:numPr>
      </w:pPr>
      <w:r>
        <w:rPr>
          <w:b/>
          <w:bCs/>
        </w:rPr>
        <w:t xml:space="preserve">Preparation</w:t>
      </w:r>
      <w:r>
        <w:t xml:space="preserve"> </w:t>
      </w:r>
      <w:r>
        <w:t xml:space="preserve">(1 point): Stayed within time, showed readiness</w:t>
      </w:r>
    </w:p>
    <w:bookmarkEnd w:id="17"/>
    <w:bookmarkEnd w:id="18"/>
    <w:bookmarkStart w:id="19" w:name="timeline-and-support"/>
    <w:p>
      <w:pPr>
        <w:pStyle w:val="Heading2"/>
      </w:pPr>
      <w:r>
        <w:t xml:space="preserve">Timeline and Support</w:t>
      </w:r>
    </w:p>
    <w:p>
      <w:pPr>
        <w:pStyle w:val="Compact"/>
        <w:numPr>
          <w:ilvl w:val="0"/>
          <w:numId w:val="1004"/>
        </w:numPr>
      </w:pPr>
      <w:r>
        <w:rPr>
          <w:b/>
          <w:bCs/>
        </w:rPr>
        <w:t xml:space="preserve">Weeks 11-13:</w:t>
      </w:r>
      <w:r>
        <w:t xml:space="preserve"> </w:t>
      </w:r>
      <w:r>
        <w:t xml:space="preserve">Workshop cycles and revision checkpoints (A07a/b/c)</w:t>
      </w:r>
    </w:p>
    <w:p>
      <w:pPr>
        <w:pStyle w:val="Compact"/>
        <w:numPr>
          <w:ilvl w:val="0"/>
          <w:numId w:val="1004"/>
        </w:numPr>
      </w:pPr>
      <w:r>
        <w:rPr>
          <w:b/>
          <w:bCs/>
        </w:rPr>
        <w:t xml:space="preserve">Week 14:</w:t>
      </w:r>
      <w:r>
        <w:t xml:space="preserve"> </w:t>
      </w:r>
      <w:r>
        <w:t xml:space="preserve">Unit assembly + Engagement Showcases</w:t>
      </w:r>
    </w:p>
    <w:p>
      <w:pPr>
        <w:pStyle w:val="Compact"/>
        <w:numPr>
          <w:ilvl w:val="1"/>
          <w:numId w:val="1005"/>
        </w:numPr>
      </w:pPr>
      <w:r>
        <w:t xml:space="preserve">Tuesday, May 6: Half of class presents showcases</w:t>
      </w:r>
    </w:p>
    <w:p>
      <w:pPr>
        <w:pStyle w:val="Compact"/>
        <w:numPr>
          <w:ilvl w:val="1"/>
          <w:numId w:val="1005"/>
        </w:numPr>
      </w:pPr>
      <w:r>
        <w:t xml:space="preserve">Thursday, May 8: Other half presents showcases</w:t>
      </w:r>
    </w:p>
    <w:p>
      <w:pPr>
        <w:pStyle w:val="Compact"/>
        <w:numPr>
          <w:ilvl w:val="0"/>
          <w:numId w:val="1004"/>
        </w:numPr>
      </w:pPr>
      <w:r>
        <w:rPr>
          <w:b/>
          <w:bCs/>
        </w:rPr>
        <w:t xml:space="preserve">Finals Week:</w:t>
      </w:r>
      <w:r>
        <w:t xml:space="preserve"> </w:t>
      </w:r>
      <w:r>
        <w:t xml:space="preserve">Final unit due Monday, May 11, 11:59 PM</w:t>
      </w:r>
    </w:p>
    <w:p>
      <w:pPr>
        <w:pStyle w:val="FirstParagraph"/>
      </w:pPr>
      <w:r>
        <w:rPr>
          <w:b/>
          <w:bCs/>
        </w:rPr>
        <w:t xml:space="preserve">Getting help:</w:t>
      </w:r>
      <w:r>
        <w:t xml:space="preserve"> </w:t>
      </w:r>
      <w:r>
        <w:t xml:space="preserve">- Office hours: Schedule time to discuss your unit</w:t>
      </w:r>
      <w:r>
        <w:t xml:space="preserve"> </w:t>
      </w:r>
      <w:r>
        <w:t xml:space="preserve">- Todd-in-a-Can: Use AI feedback tool throughout revision process</w:t>
      </w:r>
      <w:r>
        <w:t xml:space="preserve"> </w:t>
      </w:r>
      <w:r>
        <w:t xml:space="preserve">- Peer consultation: Continue conversations with workshop partners</w:t>
      </w:r>
      <w:r>
        <w:t xml:space="preserve"> </w:t>
      </w:r>
      <w:r>
        <w:t xml:space="preserve">- Canvas discussion: Post questions for whole class</w:t>
      </w:r>
    </w:p>
    <w:bookmarkEnd w:id="19"/>
    <w:bookmarkStart w:id="20" w:name="why-this-assignment-matters"/>
    <w:p>
      <w:pPr>
        <w:pStyle w:val="Heading2"/>
      </w:pPr>
      <w:r>
        <w:t xml:space="preserve">Why This Assignment Matters</w:t>
      </w:r>
    </w:p>
    <w:p>
      <w:pPr>
        <w:pStyle w:val="FirstParagraph"/>
      </w:pPr>
      <w:r>
        <w:t xml:space="preserve">This unit represents your growth from teacher candidate to reflective practitioner. Through this process, you’ve:</w:t>
      </w:r>
      <w:r>
        <w:t xml:space="preserve"> </w:t>
      </w:r>
      <w:r>
        <w:t xml:space="preserve">- Taught real lessons to real students</w:t>
      </w:r>
      <w:r>
        <w:t xml:space="preserve"> </w:t>
      </w:r>
      <w:r>
        <w:t xml:space="preserve">- Analyzed student learning data</w:t>
      </w:r>
      <w:r>
        <w:t xml:space="preserve"> </w:t>
      </w:r>
      <w:r>
        <w:t xml:space="preserve">- Received and integrated peer feedback</w:t>
      </w:r>
      <w:r>
        <w:t xml:space="preserve"> </w:t>
      </w:r>
      <w:r>
        <w:t xml:space="preserve">- Revised based on multiple pedagogical lenses</w:t>
      </w:r>
      <w:r>
        <w:t xml:space="preserve"> </w:t>
      </w:r>
      <w:r>
        <w:t xml:space="preserve">- Articulated your teaching philosophy</w:t>
      </w:r>
    </w:p>
    <w:p>
      <w:pPr>
        <w:pStyle w:val="BodyText"/>
      </w:pPr>
      <w:r>
        <w:t xml:space="preserve">This is the work of professional teaching: designing thoughtful lessons, trying them out, studying what happens, and continually improving. The habits you’re building here will serve you throughout your career.</w:t>
      </w:r>
    </w:p>
    <w:bookmarkEnd w:id="20"/>
    <w:bookmarkStart w:id="21" w:name="final-thoughts"/>
    <w:p>
      <w:pPr>
        <w:pStyle w:val="Heading2"/>
      </w:pPr>
      <w:r>
        <w:t xml:space="preserve">Final Thoughts</w:t>
      </w:r>
    </w:p>
    <w:p>
      <w:pPr>
        <w:pStyle w:val="FirstParagraph"/>
      </w:pPr>
      <w:r>
        <w:t xml:space="preserve">This is a substantial assignment, but you’ve been building toward it all semester. By the time you submit, you’ll have:</w:t>
      </w:r>
      <w:r>
        <w:t xml:space="preserve"> </w:t>
      </w:r>
      <w:r>
        <w:t xml:space="preserve">- Taught these lessons in the field</w:t>
      </w:r>
      <w:r>
        <w:t xml:space="preserve"> </w:t>
      </w:r>
      <w:r>
        <w:t xml:space="preserve">- Written them up once already (A05)</w:t>
      </w:r>
      <w:r>
        <w:t xml:space="preserve"> </w:t>
      </w:r>
      <w:r>
        <w:t xml:space="preserve">- Analyzed your assessment data (A06)</w:t>
      </w:r>
      <w:r>
        <w:t xml:space="preserve"> </w:t>
      </w:r>
      <w:r>
        <w:t xml:space="preserve">- Completed three revision cycles with checkpoints (A07a/b/c)</w:t>
      </w:r>
      <w:r>
        <w:t xml:space="preserve"> </w:t>
      </w:r>
      <w:r>
        <w:t xml:space="preserve">- Taught a segment to peers (Engagement Showcase)</w:t>
      </w:r>
    </w:p>
    <w:p>
      <w:pPr>
        <w:pStyle w:val="BodyText"/>
      </w:pPr>
      <w:r>
        <w:t xml:space="preserve">The final submission is about bringing all of that work together into a polished, professional package. Trust the process, engage deeply, and take pride in what you create.</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2026-01-21T18:43:27Z</dcterms:created>
  <dcterms:modified xsi:type="dcterms:W3CDTF">2026-01-21T18:43:27Z</dcterms:modified>
</cp:coreProperties>
</file>

<file path=docProps/custom.xml><?xml version="1.0" encoding="utf-8"?>
<Properties xmlns="http://schemas.openxmlformats.org/officeDocument/2006/custom-properties" xmlns:vt="http://schemas.openxmlformats.org/officeDocument/2006/docPropsVTypes"/>
</file>