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1</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p>
      <w:r>
        <w:rPr>
          <w:b/>
          <w:color w:val="0F4761"/>
        </w:rPr>
        <w:t>2. What do I need to do?</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Ambitious Science Teaching, Chapter 1: How Do You Begin the Year?</w:t>
            </w:r>
            <w:r>
              <w:rPr>
                <w:sz w:val="20"/>
              </w:rPr>
              <w:br/>
              <w:t>Outlines how science teachers can establish norms and routines at the start of the year that support ambitious teaching practices.</w:t>
            </w:r>
          </w:p>
        </w:tc>
      </w:tr>
      <w:tr>
        <w:tc>
          <w:tcPr>
            <w:tcW w:type="dxa" w:w="8640"/>
            <w:shd w:fill="E0E0E0"/>
          </w:tcPr>
          <w:p>
            <w:r>
              <w:rPr>
                <w:b/>
                <w:sz w:val="20"/>
              </w:rPr>
              <w:t>Boaler, Chapter 3: A Mindset for Mathematics</w:t>
            </w:r>
            <w:r>
              <w:rPr>
                <w:sz w:val="20"/>
              </w:rPr>
              <w:br/>
              <w:t>Explores how students' beliefs about their mathematical ability profoundly shape their learning and provides strategies for cultivating growth mindsets.</w:t>
            </w:r>
          </w:p>
        </w:tc>
      </w:tr>
    </w:tbl>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