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4</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To earn full credit, your response should address the prompt specifically, with details from the readings and NotebookLM.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Boaler, Chapter 5: Rich Mathematical Tasks</w:t>
      </w:r>
      <w:r>
        <w:t xml:space="preserve"> </w:t>
      </w:r>
      <w:r>
        <w:t xml:space="preserve">This chapter explores how to design and select mathematical tasks that promote deep thinking, multiple solution strategies, and conceptual understanding.</w:t>
      </w:r>
    </w:p>
    <w:p>
      <w:pPr>
        <w:pStyle w:val="BodyText"/>
      </w:pPr>
      <w:r>
        <w:rPr>
          <w:bCs/>
          <w:b/>
        </w:rPr>
        <w:t xml:space="preserve">Ambitious Science Teaching, Chapter 5: Supporting Changes in Thinking Through Formative Assessment</w:t>
      </w:r>
      <w:r>
        <w:t xml:space="preserve"> </w:t>
      </w:r>
      <w:r>
        <w:t xml:space="preserve">This chapter examines how teachers use ongoing assessment to understand and advance students’ evolving ideas during inquiry-based instruction.</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2026-01-24T01:21:37Z</dcterms:created>
  <dcterms:modified xsi:type="dcterms:W3CDTF">2026-01-24T01:21:37Z</dcterms:modified>
</cp:coreProperties>
</file>

<file path=docProps/custom.xml><?xml version="1.0" encoding="utf-8"?>
<Properties xmlns="http://schemas.openxmlformats.org/officeDocument/2006/custom-properties" xmlns:vt="http://schemas.openxmlformats.org/officeDocument/2006/docPropsVTypes"/>
</file>