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11</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9: Teaching Mathematics for a Growth Mindset</w:t>
      </w:r>
      <w:r>
        <w:t xml:space="preserve"> </w:t>
      </w:r>
      <w:r>
        <w:t xml:space="preserve">This chapter synthesizes research on effective teaching practices that develop students’ mathematical confidence and persistence.</w:t>
      </w:r>
    </w:p>
    <w:p>
      <w:pPr>
        <w:pStyle w:val="BodyText"/>
      </w:pPr>
      <w:r>
        <w:rPr>
          <w:bCs/>
          <w:b/>
        </w:rPr>
        <w:t xml:space="preserve">Ambitious Science Teaching, Chapter 9: Focusing and Refining Ideas: The Role of Critique</w:t>
      </w:r>
      <w:r>
        <w:t xml:space="preserve"> </w:t>
      </w:r>
      <w:r>
        <w:t xml:space="preserve">This chapter explores how teachers orchestrate productive critique sessions where students evaluate and refine scientific explanations.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2026-01-24T01:21:38Z</dcterms:created>
  <dcterms:modified xsi:type="dcterms:W3CDTF">2026-01-24T01:21:38Z</dcterms:modified>
</cp:coreProperties>
</file>

<file path=docProps/custom.xml><?xml version="1.0" encoding="utf-8"?>
<Properties xmlns="http://schemas.openxmlformats.org/officeDocument/2006/custom-properties" xmlns:vt="http://schemas.openxmlformats.org/officeDocument/2006/docPropsVTypes"/>
</file>