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w:t>
      </w:r>
      <w:r>
        <w:t xml:space="preserve"> </w:t>
      </w:r>
      <w:r>
        <w:t xml:space="preserve">TCE 486A, Spring 2026 (Edwards)</w:t>
      </w:r>
    </w:p>
    <w:p>
      <w:r>
        <w:pict>
          <v:rect style="width:0;height:1.5pt" o:hralign="center" o:hrstd="t" o:hr="t"/>
        </w:pict>
      </w:r>
    </w:p>
    <w:bookmarkStart w:id="20" w:name="part-1-the-readings"/>
    <w:p>
      <w:pPr>
        <w:pStyle w:val="Heading2"/>
      </w:pPr>
      <w:r>
        <w:t xml:space="preserve">Part 1: The Readings</w:t>
      </w:r>
    </w:p>
    <w:p>
      <w:pPr>
        <w:pStyle w:val="FirstParagraph"/>
      </w:pPr>
      <w:r>
        <w:rPr>
          <w:bCs/>
          <w:b/>
        </w:rPr>
        <w:t xml:space="preserve">Boaler, Chapter 3: A Mindset for Mathematics</w:t>
      </w:r>
      <w:r>
        <w:t xml:space="preserve"> </w:t>
      </w:r>
      <w:r>
        <w:t xml:space="preserve">This chapter explores how students’ beliefs about their mathematical ability profoundly shape their learning. Boaler presents research showing that a</w:t>
      </w:r>
      <w:r>
        <w:t xml:space="preserve"> </w:t>
      </w:r>
      <w:r>
        <w:t xml:space="preserve">“</w:t>
      </w:r>
      <w:r>
        <w:t xml:space="preserve">growth mindset</w:t>
      </w:r>
      <w:r>
        <w:t xml:space="preserve">”</w:t>
      </w:r>
      <w:r>
        <w:t xml:space="preserve">—believing intelligence can be developed—leads to higher achievement than a</w:t>
      </w:r>
      <w:r>
        <w:t xml:space="preserve"> </w:t>
      </w:r>
      <w:r>
        <w:t xml:space="preserve">“</w:t>
      </w:r>
      <w:r>
        <w:t xml:space="preserve">fixed mindset.</w:t>
      </w:r>
      <w:r>
        <w:t xml:space="preserve">”</w:t>
      </w:r>
      <w:r>
        <w:t xml:space="preserve"> </w:t>
      </w:r>
      <w:r>
        <w:t xml:space="preserve">The chapter provides practical strategies for teachers to cultivate growth mindsets in their classrooms, including how to give feedback, frame mistakes as learning opportunities, and design tasks that value effort and persistence over speed.</w:t>
      </w:r>
    </w:p>
    <w:p>
      <w:pPr>
        <w:pStyle w:val="BodyText"/>
      </w:pPr>
      <w:r>
        <w:rPr>
          <w:bCs/>
          <w:b/>
        </w:rPr>
        <w:t xml:space="preserve">Ambitious Science Teaching, Chapter 1: How Do You Begin the Year?</w:t>
      </w:r>
      <w:r>
        <w:t xml:space="preserve"> </w:t>
      </w:r>
      <w:r>
        <w:t xml:space="preserve">This chapter outlines how science teachers can establish norms and routines at the start of the year that support ambitious teaching practices. It focuses on building a classroom culture where students engage in scientific practices (asking questions, constructing explanations, arguing from evidence) rather than just memorizing facts. The authors provide specific strategies for launching the year with investigations that hook students’ interest while establishing expectations for collaborative sense-making.</w:t>
      </w:r>
    </w:p>
    <w:p>
      <w:r>
        <w:pict>
          <v:rect style="width:0;height:1.5pt" o:hralign="center" o:hrstd="t" o:hr="t"/>
        </w:pict>
      </w:r>
    </w:p>
    <w:bookmarkEnd w:id="20"/>
    <w:bookmarkStart w:id="21" w:name="part-2-using-notebooklm"/>
    <w:p>
      <w:pPr>
        <w:pStyle w:val="Heading2"/>
      </w:pPr>
      <w:r>
        <w:t xml:space="preserve">Part 2: Using NotebookLM</w:t>
      </w:r>
    </w:p>
    <w:p>
      <w:pPr>
        <w:pStyle w:val="FirstParagraph"/>
      </w:pPr>
      <w:r>
        <w:t xml:space="preserve">These discussion posts serve two purposes: (1) To give you a chance to reflect on the readings and discussions that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p>
      <w:pPr>
        <w:pStyle w:val="BodyText"/>
      </w:pPr>
      <w:r>
        <w:t xml:space="preserve">Answer the following three prompts regarding this week’s assigned readings and your use of NotebookLM to better understand them.</w:t>
      </w:r>
    </w:p>
    <w:p>
      <w:pPr>
        <w:pStyle w:val="BodyText"/>
      </w:pPr>
      <w:r>
        <w:rPr>
          <w:bCs/>
          <w:b/>
        </w:rPr>
        <w:t xml:space="preserve">Prompt 1: What NotebookLM tool did you try?</w:t>
      </w:r>
    </w:p>
    <w:p>
      <w:pPr>
        <w:pStyle w:val="BodyText"/>
      </w:pPr>
      <w:r>
        <w:t xml:space="preserve">NotebookLM offers eight different study tools: Audio Overview, Study Guide, Briefing Doc, FAQ, Mind Map, Quiz, Flashcards, and Slide Deck. Which one(s) did you experiment with this week?</w:t>
      </w:r>
    </w:p>
    <w:p>
      <w:pPr>
        <w:pStyle w:val="BodyText"/>
      </w:pPr>
      <w:r>
        <w:rPr>
          <w:bCs/>
          <w:b/>
        </w:rPr>
        <w:t xml:space="preserve">Prompt 2: How did you use it?</w:t>
      </w:r>
    </w:p>
    <w:p>
      <w:pPr>
        <w:pStyle w:val="BodyText"/>
      </w:pPr>
      <w:r>
        <w:t xml:space="preserve">Describe your approach to using NotebookLM with the readings:</w:t>
      </w:r>
      <w:r>
        <w:t xml:space="preserve"> </w:t>
      </w:r>
      <w:r>
        <w:t xml:space="preserve">- Did you use it</w:t>
      </w:r>
      <w:r>
        <w:t xml:space="preserve"> </w:t>
      </w:r>
      <w:r>
        <w:rPr>
          <w:iCs/>
          <w:i/>
        </w:rPr>
        <w:t xml:space="preserve">before</w:t>
      </w:r>
      <w:r>
        <w:t xml:space="preserve"> </w:t>
      </w:r>
      <w:r>
        <w:t xml:space="preserve">reading as a preview to orient yourself to the main ideas?</w:t>
      </w:r>
      <w:r>
        <w:t xml:space="preserve"> </w:t>
      </w:r>
      <w:r>
        <w:t xml:space="preserve">- Did you use it</w:t>
      </w:r>
      <w:r>
        <w:t xml:space="preserve"> </w:t>
      </w:r>
      <w:r>
        <w:rPr>
          <w:iCs/>
          <w:i/>
        </w:rPr>
        <w:t xml:space="preserve">after</w:t>
      </w:r>
      <w:r>
        <w:t xml:space="preserve"> </w:t>
      </w:r>
      <w:r>
        <w:t xml:space="preserve">reading to review and reinforce what you learned?</w:t>
      </w:r>
      <w:r>
        <w:t xml:space="preserve"> </w:t>
      </w:r>
      <w:r>
        <w:t xml:space="preserve">- Did you use it</w:t>
      </w:r>
      <w:r>
        <w:t xml:space="preserve"> </w:t>
      </w:r>
      <w:r>
        <w:rPr>
          <w:iCs/>
          <w:i/>
        </w:rPr>
        <w:t xml:space="preserve">instead of</w:t>
      </w:r>
      <w:r>
        <w:t xml:space="preserve"> </w:t>
      </w:r>
      <w:r>
        <w:t xml:space="preserve">reading to get the key points quickly?</w:t>
      </w:r>
      <w:r>
        <w:t xml:space="preserve"> </w:t>
      </w:r>
      <w:r>
        <w:t xml:space="preserve">- Did you use it</w:t>
      </w:r>
      <w:r>
        <w:t xml:space="preserve"> </w:t>
      </w:r>
      <w:r>
        <w:rPr>
          <w:iCs/>
          <w:i/>
        </w:rPr>
        <w:t xml:space="preserve">during</w:t>
      </w:r>
      <w:r>
        <w:t xml:space="preserve"> </w:t>
      </w:r>
      <w:r>
        <w:t xml:space="preserve">reading as a companion to help clarify confusing parts?</w:t>
      </w:r>
      <w:r>
        <w:t xml:space="preserve"> </w:t>
      </w:r>
      <w:r>
        <w:t xml:space="preserve">- Did you use it in some other way?</w:t>
      </w:r>
    </w:p>
    <w:p>
      <w:pPr>
        <w:pStyle w:val="BodyText"/>
      </w:pPr>
      <w:r>
        <w:rPr>
          <w:bCs/>
          <w:b/>
        </w:rPr>
        <w:t xml:space="preserve">Prompt 3: What’s one idea from the reading that will change how you teach?</w:t>
      </w:r>
    </w:p>
    <w:p>
      <w:pPr>
        <w:pStyle w:val="BodyText"/>
      </w:pPr>
      <w:r>
        <w:t xml:space="preserve">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pStyle w:val="BodyText"/>
      </w:pPr>
      <w:r>
        <w:rPr>
          <w:iCs/>
          <w:i/>
        </w:rPr>
        <w:t xml:space="preserve">Example:</w:t>
      </w:r>
      <w:r>
        <w:t xml:space="preserve"> </w:t>
      </w:r>
      <w:r>
        <w:t xml:space="preserve">“</w:t>
      </w:r>
      <w:r>
        <w:t xml:space="preserve">Boaler’s point about</w:t>
      </w:r>
      <w:r>
        <w:t xml:space="preserve"> </w:t>
      </w:r>
      <w:r>
        <w:t xml:space="preserve">‘</w:t>
      </w:r>
      <w:r>
        <w:t xml:space="preserve">low floor, high ceiling</w:t>
      </w:r>
      <w:r>
        <w:t xml:space="preserve">’</w:t>
      </w:r>
      <w:r>
        <w:t xml:space="preserve"> </w:t>
      </w:r>
      <w:r>
        <w:t xml:space="preserve">tasks made me realize my field lesson only had a low floor—I need to add extension questions so advanced students aren’t just waiting.</w:t>
      </w:r>
      <w:r>
        <w:t xml:space="preserve">”</w:t>
      </w:r>
    </w:p>
    <w:p>
      <w:r>
        <w:pict>
          <v:rect style="width:0;height:1.5pt" o:hralign="center" o:hrstd="t" o:hr="t"/>
        </w:pict>
      </w:r>
    </w:p>
    <w:bookmarkEnd w:id="21"/>
    <w:bookmarkStart w:id="22" w:name="part-3-respond-to-two-classmates"/>
    <w:p>
      <w:pPr>
        <w:pStyle w:val="Heading2"/>
      </w:pPr>
      <w:r>
        <w:t xml:space="preserve">Part 3: Respond to Two Classmates</w:t>
      </w:r>
    </w:p>
    <w:p>
      <w:pPr>
        <w:pStyle w:val="FirstParagraph"/>
      </w:pP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w:t>
      </w:r>
      <w:r>
        <w:t xml:space="preserve"> </w:t>
      </w:r>
      <w:r>
        <w:t xml:space="preserve">- Builds on their idea with an example from your own experience or reading, OR</w:t>
      </w:r>
      <w:r>
        <w:t xml:space="preserve"> </w:t>
      </w:r>
      <w:r>
        <w:t xml:space="preserve">- Asks a genuine follow-up question about their insight, OR</w:t>
      </w:r>
      <w:r>
        <w:t xml:space="preserve"> </w:t>
      </w:r>
      <w:r>
        <w:t xml:space="preserve">- Connects their idea to something from a different week or reading</w:t>
      </w:r>
    </w:p>
    <w:p>
      <w:pPr>
        <w:pStyle w:val="BodyText"/>
      </w:pPr>
      <w:r>
        <w:rPr>
          <w:bCs/>
          <w:b/>
        </w:rPr>
        <w:t xml:space="preserve">NOT accepted:</w:t>
      </w:r>
      <w:r>
        <w:t xml:space="preserve"> </w:t>
      </w:r>
      <w:r>
        <w:t xml:space="preserve">“</w:t>
      </w:r>
      <w:r>
        <w:t xml:space="preserve">Great post!</w:t>
      </w:r>
      <w:r>
        <w:t xml:space="preserve">”</w:t>
      </w:r>
      <w:r>
        <w:t xml:space="preserve"> </w:t>
      </w:r>
      <w:r>
        <w:t xml:space="preserve">or</w:t>
      </w:r>
      <w:r>
        <w:t xml:space="preserve"> </w:t>
      </w:r>
      <w:r>
        <w:t xml:space="preserve">“</w:t>
      </w:r>
      <w:r>
        <w:t xml:space="preserve">I agree!</w:t>
      </w:r>
      <w:r>
        <w:t xml:space="preserve">”</w:t>
      </w:r>
      <w:r>
        <w:t xml:space="preserve"> </w:t>
      </w:r>
      <w:r>
        <w:t xml:space="preserve">Show you’re thinking</w:t>
      </w:r>
      <w:r>
        <w:t xml:space="preserve"> </w:t>
      </w:r>
      <w:r>
        <w:rPr>
          <w:iCs/>
          <w:i/>
        </w:rPr>
        <w:t xml:space="preserve">with</w:t>
      </w:r>
      <w:r>
        <w:t xml:space="preserve"> </w:t>
      </w:r>
      <w:r>
        <w:t xml:space="preserve">them, not just checking a box.</w:t>
      </w:r>
    </w:p>
    <w:p>
      <w:r>
        <w:pict>
          <v:rect style="width:0;height:1.5pt" o:hralign="center" o:hrstd="t" o:hr="t"/>
        </w:pict>
      </w:r>
    </w:p>
    <w:p>
      <w:pPr>
        <w:pStyle w:val="FirstParagraph"/>
      </w:pPr>
      <w:r>
        <w:rPr>
          <w:bCs/>
          <w:b/>
        </w:rPr>
        <w:t xml:space="preserve">This post is worth 5 points completion credit.</w:t>
      </w:r>
      <w:r>
        <w:t xml:space="preserve"> </w:t>
      </w:r>
      <w:r>
        <w:t xml:space="preserve">Due Sunday by 11:59pm.</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2026-01-24T00:55:51Z</dcterms:created>
  <dcterms:modified xsi:type="dcterms:W3CDTF">2026-01-24T00:55:51Z</dcterms:modified>
</cp:coreProperties>
</file>

<file path=docProps/custom.xml><?xml version="1.0" encoding="utf-8"?>
<Properties xmlns="http://schemas.openxmlformats.org/officeDocument/2006/custom-properties" xmlns:vt="http://schemas.openxmlformats.org/officeDocument/2006/docPropsVTypes"/>
</file>