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rFonts w:ascii="Inter" w:hAnsi="Inter"/>
          <w:b/>
          <w:color w:val="0F4761"/>
        </w:rPr>
        <w:t xml:space="preserve">NotebookLM Discussion Post - Week 1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TCE 486A, Spring 2026 (Edwards)</w:t>
      </w:r>
    </w:p>
    <w:bookmarkStart w:id="20" w:name="part-1-the-readings"/>
    <w:p>
      <w:pPr>
        <w:pStyle w:val="Heading2"/>
      </w:pPr>
      <w:r>
        <w:rPr>
          <w:rFonts w:ascii="Inter" w:hAnsi="Inter"/>
        </w:rPr>
        <w:t xml:space="preserve">Part 1: The Readings</w:t>
      </w:r>
    </w:p>
    <w:p>
      <w:pPr>
        <w:pStyle w:val="FirstParagraph"/>
      </w:pPr>
      <w:r>
        <w:rPr>
          <w:bCs/>
          <w:rFonts w:ascii="Inter" w:hAnsi="Inter"/>
          <w:b/>
          <w:color w:val="0F4761"/>
        </w:rPr>
        <w:t xml:space="preserve">Boaler, Chapter 3: A Mindset for Mathematics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This chapter explores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how students’ beliefs about their mathematical ability profoundly shape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their learning. Boaler presents research showing that a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“</w:t>
      </w:r>
      <w:r>
        <w:rPr>
          <w:rFonts w:ascii="Inter" w:hAnsi="Inter"/>
        </w:rPr>
        <w:t xml:space="preserve">growth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mindset</w:t>
      </w:r>
      <w:r>
        <w:rPr>
          <w:rFonts w:ascii="Inter" w:hAnsi="Inter"/>
        </w:rPr>
        <w:t xml:space="preserve">”</w:t>
      </w:r>
      <w:r>
        <w:rPr>
          <w:rFonts w:ascii="Inter" w:hAnsi="Inter"/>
        </w:rPr>
        <w:t xml:space="preserve">—believing intelligence can be developed—leads to higher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achievement than a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“</w:t>
      </w:r>
      <w:r>
        <w:rPr>
          <w:rFonts w:ascii="Inter" w:hAnsi="Inter"/>
        </w:rPr>
        <w:t xml:space="preserve">fixed mindset.</w:t>
      </w:r>
      <w:r>
        <w:rPr>
          <w:rFonts w:ascii="Inter" w:hAnsi="Inter"/>
        </w:rPr>
        <w:t xml:space="preserve">”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The chapter provides practical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strategies for teachers to cultivate growth mindsets in their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classrooms, including how to give feedback, frame mistakes as learning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opportunities, and design tasks that value effort and persistence over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speed.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Ambitious Science Teaching, Chapter 1: How Do You Begin the Year?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This chapter outlines how science teachers can establish norms and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routines at the start of the year that support ambitious teaching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practices. It focuses on building a classroom culture where students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engage in scientific practices (asking questions, constructing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explanations, arguing from evidence) rather than just memorizing facts.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The authors provide specific strategies for launching the year with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investigations that hook students’ interest while establishing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expectations for collaborative sense-making.</w:t>
      </w:r>
    </w:p>
    <w:bookmarkEnd w:id="20"/>
    <w:bookmarkStart w:id="21" w:name="part-2-using-notebooklm"/>
    <w:p>
      <w:pPr>
        <w:pStyle w:val="Heading2"/>
      </w:pPr>
      <w:r>
        <w:rPr>
          <w:rFonts w:ascii="Inter" w:hAnsi="Inter"/>
        </w:rPr>
        <w:t xml:space="preserve">Part 2: Using NotebookLM</w:t>
      </w:r>
    </w:p>
    <w:p>
      <w:pPr>
        <w:pStyle w:val="FirstParagraph"/>
      </w:pPr>
      <w:r>
        <w:rPr>
          <w:rFonts w:ascii="Inter" w:hAnsi="Inter"/>
        </w:rPr>
        <w:t xml:space="preserve">These discussion posts serve two purposes: (1) To give you a chance to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reflect on the readings and discussions that you had with classmates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about them; and (2) To provide you with practice using genAI tools,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specifically NotebookLM, to engage with readings. This anticipates work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you will likely do with your own students as well as providing you with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tools to improve your own reading comprehension.</w:t>
      </w:r>
    </w:p>
    <w:p>
      <w:pPr>
        <w:pStyle w:val="BodyText"/>
      </w:pPr>
      <w:r>
        <w:rPr>
          <w:rFonts w:ascii="Inter" w:hAnsi="Inter"/>
        </w:rPr>
        <w:t xml:space="preserve">Answer the following three prompts regarding this week’s assigned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readings and your use of NotebookLM to better understand them.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Prompt 1: What NotebookLM tool did you try?</w:t>
      </w:r>
    </w:p>
    <w:p>
      <w:pPr>
        <w:pStyle w:val="BodyText"/>
      </w:pPr>
      <w:r>
        <w:rPr>
          <w:rFonts w:ascii="Inter" w:hAnsi="Inter"/>
        </w:rPr>
        <w:t xml:space="preserve">NotebookLM offers eight different study tools: Audio Overview, Study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Guide, Briefing Doc, FAQ, Mind Map, Quiz, Flashcards, and Slide Deck.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Which one(s) did you experiment with this week?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Prompt 2: How did you use it?</w:t>
      </w:r>
    </w:p>
    <w:p>
      <w:pPr>
        <w:pStyle w:val="BodyText"/>
      </w:pPr>
      <w:r>
        <w:rPr>
          <w:rFonts w:ascii="Inter" w:hAnsi="Inter"/>
        </w:rPr>
        <w:t xml:space="preserve">Describe your approach to using NotebookLM with the readings: - Did you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use it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before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reading as a preview to orient yourself to the main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ideas? - Did you use it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after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reading to review and reinforce what you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learned? - Did you use it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instead of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reading to get the key points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quickly? - Did you use it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during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reading as a companion to help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clarify confusing parts? - Did you use it in some other way?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Prompt 3: What’s one idea from the reading that will change how you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teach?</w:t>
      </w:r>
    </w:p>
    <w:p>
      <w:pPr>
        <w:pStyle w:val="BodyText"/>
      </w:pPr>
      <w:r>
        <w:rPr>
          <w:rFonts w:ascii="Inter" w:hAnsi="Inter"/>
        </w:rPr>
        <w:t xml:space="preserve">Be specific! Connect the reading to your practice, field experience, or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 concrete example. Don’t just summarize—explain what you’ll actually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do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differently in your teaching.</w:t>
      </w:r>
    </w:p>
    <w:p>
      <w:pPr>
        <w:pStyle w:val="BodyText"/>
      </w:pPr>
      <w:r>
        <w:rPr>
          <w:iCs/>
          <w:rFonts w:ascii="Inter" w:hAnsi="Inter"/>
          <w:i/>
        </w:rPr>
        <w:t xml:space="preserve">Example: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“</w:t>
      </w:r>
      <w:r>
        <w:rPr>
          <w:rFonts w:ascii="Inter" w:hAnsi="Inter"/>
        </w:rPr>
        <w:t xml:space="preserve">Boaler’s point about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‘</w:t>
      </w:r>
      <w:r>
        <w:rPr>
          <w:rFonts w:ascii="Inter" w:hAnsi="Inter"/>
        </w:rPr>
        <w:t xml:space="preserve">low floor, high ceiling</w:t>
      </w:r>
      <w:r>
        <w:rPr>
          <w:rFonts w:ascii="Inter" w:hAnsi="Inter"/>
        </w:rPr>
        <w:t xml:space="preserve">’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tasks made me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realize my field lesson only had a low floor—I need to add extension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questions so advanced students aren’t just waiting.</w:t>
      </w:r>
      <w:r>
        <w:rPr>
          <w:rFonts w:ascii="Inter" w:hAnsi="Inter"/>
        </w:rPr>
        <w:t xml:space="preserve">”</w:t>
      </w:r>
    </w:p>
    <w:bookmarkEnd w:id="21"/>
    <w:bookmarkStart w:id="22" w:name="part-3-respond-to-two-classmates"/>
    <w:p>
      <w:pPr>
        <w:pStyle w:val="Heading2"/>
      </w:pPr>
      <w:r>
        <w:rPr>
          <w:rFonts w:ascii="Inter" w:hAnsi="Inter"/>
        </w:rPr>
        <w:t xml:space="preserve">Part 3: Respond to Two Classmates</w:t>
      </w:r>
    </w:p>
    <w:p>
      <w:pPr>
        <w:pStyle w:val="FirstParagraph"/>
      </w:pPr>
      <w:r>
        <w:rPr>
          <w:rFonts w:ascii="Inter" w:hAnsi="Inter"/>
        </w:rPr>
        <w:t xml:space="preserve">After posting your reflection, read through your classmates’ responses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and reply meaningfully to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two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of them. Each response should be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2-3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sentences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that: - Builds on their idea with an example from your own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experience or reading, OR - Asks a genuine follow-up question about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their insight, OR - Connects their idea to something from a different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week or reading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NOT accepted: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“</w:t>
      </w:r>
      <w:r>
        <w:rPr>
          <w:rFonts w:ascii="Inter" w:hAnsi="Inter"/>
        </w:rPr>
        <w:t xml:space="preserve">Great post!</w:t>
      </w:r>
      <w:r>
        <w:rPr>
          <w:rFonts w:ascii="Inter" w:hAnsi="Inter"/>
        </w:rPr>
        <w:t xml:space="preserve">”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“</w:t>
      </w:r>
      <w:r>
        <w:rPr>
          <w:rFonts w:ascii="Inter" w:hAnsi="Inter"/>
        </w:rPr>
        <w:t xml:space="preserve">I agree!</w:t>
      </w:r>
      <w:r>
        <w:rPr>
          <w:rFonts w:ascii="Inter" w:hAnsi="Inter"/>
        </w:rPr>
        <w:t xml:space="preserve">”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Show you’re thinking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with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them, not just checking a box.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This post is worth 10 points completion credit.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Due Sunday by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11:59pm.</w:t>
      </w:r>
    </w:p>
    <w:bookmarkEnd w:id="22"/>
    <w:sectPr>
      <w:pgMar w:top="720" w:bottom="720" w:left="720" w:right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2026-01-24T02:50:02Z</dcterms:created>
  <dcterms:modified xsi:type="dcterms:W3CDTF">2026-01-24T02:50:02Z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