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FirstParagraph"/>
        <w:spacing w:before="180" w:after="180"/>
        <w:rPr>
          <w:b/>
          <w:bCs/>
          <w:color w:val="000000"/>
        </w:rPr>
      </w:pPr>
      <w:r>
        <w:rPr>
          <w:rFonts w:ascii="Inter" w:hAnsi="Inter"/>
          <w:b/>
          <w:bCs/>
          <w:color w:val="000000"/>
        </w:rPr>
        <w:t>Teaching Identity Reflection</w:t>
      </w:r>
      <w:r>
        <w:rPr>
          <w:rFonts w:ascii="Inter" w:hAnsi="Inter"/>
          <w:b/>
          <w:bCs/>
          <w:color w:val="000000"/>
        </w:rPr>
        <w:t xml:space="preserve"> </w:t>
        <w:br/>
        <w:t xml:space="preserve">TCE 486/586A, </w:t>
        <w:br/>
        <w:t xml:space="preserve">Spring 2026 (Edwards) </w:t>
        <w:br/>
        <w:t>10 points possible</w:t>
      </w:r>
    </w:p>
    <w:p>
      <w:pPr>
        <w:pStyle w:val="BodyText"/>
        <w:rPr/>
      </w:pPr>
      <w:r>
        <w:rPr>
          <w:rFonts w:ascii="Inter" w:hAnsi="Inter"/>
          <w:b/>
          <w:bCs/>
          <w:color w:val="0F4761"/>
        </w:rPr>
        <w:t>1. What is this all about?</w:t>
      </w:r>
    </w:p>
    <w:p>
      <w:pPr>
        <w:pStyle w:val="BodyText"/>
        <w:rPr/>
      </w:pPr>
      <w:r>
        <w:rPr>
          <w:rFonts w:ascii="Inter" w:hAnsi="Inter"/>
        </w:rPr>
        <w:t>Before you step into the field, I want you to articulate who you want to be as a teacher. By putting your intentions into words early in the semester, you create a touchstone to return to throughout your teaching journey.</w:t>
      </w:r>
    </w:p>
    <w:p>
      <w:pPr>
        <w:pStyle w:val="BodyText"/>
        <w:rPr/>
      </w:pPr>
      <w:r>
        <w:rPr>
          <w:rFonts w:ascii="Inter" w:hAnsi="Inter"/>
        </w:rPr>
        <w:t>This isn’t about having it all figured out. It’s about naming where you’re starting from.</w:t>
      </w:r>
    </w:p>
    <w:p>
      <w:pPr>
        <w:pStyle w:val="BodyText"/>
        <w:rPr/>
      </w:pPr>
      <w:r>
        <w:rPr>
          <w:rFonts w:ascii="Inter" w:hAnsi="Inter"/>
          <w:b/>
          <w:bCs/>
          <w:color w:val="0F4761"/>
        </w:rPr>
        <w:t>2. What do I need to do?</w:t>
      </w:r>
    </w:p>
    <w:p>
      <w:pPr>
        <w:pStyle w:val="BodyText"/>
        <w:rPr/>
      </w:pPr>
      <w:r>
        <w:rPr>
          <w:rFonts w:ascii="Inter" w:hAnsi="Inter"/>
        </w:rPr>
        <w:t>Write a 1–2 page reflection responding to this prompt:</w:t>
      </w:r>
    </w:p>
    <w:p>
      <w:pPr>
        <w:pStyle w:val="BodyText"/>
        <w:jc w:val="center"/>
        <w:rPr>
          <w:b w:val="false"/>
          <w:bCs w:val="false"/>
          <w:i/>
          <w:i/>
          <w:iCs/>
          <w:color w:val="000000"/>
        </w:rPr>
      </w:pPr>
      <w:r>
        <w:rPr>
          <w:rFonts w:ascii="Inter" w:hAnsi="Inter"/>
          <w:b w:val="false"/>
          <w:bCs w:val="false"/>
          <w:i/>
          <w:iCs/>
          <w:color w:val="000000"/>
        </w:rPr>
        <w:t>How I want students to describe my classroom by October.</w:t>
      </w:r>
    </w:p>
    <w:p>
      <w:pPr>
        <w:pStyle w:val="BodyText"/>
        <w:rPr/>
      </w:pPr>
      <w:r>
        <w:rPr>
          <w:rFonts w:ascii="Inter" w:hAnsi="Inter"/>
        </w:rPr>
        <w:t>Address the following:</w:t>
      </w:r>
    </w:p>
    <w:p>
      <w:pPr>
        <w:pStyle w:val="BodyText"/>
        <w:numPr>
          <w:ilvl w:val="0"/>
          <w:numId w:val="1"/>
        </w:numPr>
        <w:rPr/>
      </w:pPr>
      <w:r>
        <w:rPr>
          <w:rFonts w:ascii="Inter" w:hAnsi="Inter"/>
          <w:b w:val="false"/>
          <w:bCs w:val="false"/>
          <w:i/>
          <w:iCs/>
          <w:color w:val="000000"/>
        </w:rPr>
        <w:t>The Atmosphere</w:t>
      </w:r>
      <w:r>
        <w:rPr>
          <w:rFonts w:ascii="Inter" w:hAnsi="Inter"/>
        </w:rPr>
        <w:t xml:space="preserve"> - What will students </w:t>
      </w:r>
      <w:r>
        <w:rPr>
          <w:rFonts w:ascii="Inter" w:hAnsi="Inter"/>
          <w:i/>
          <w:iCs/>
        </w:rPr>
        <w:t>feel</w:t>
      </w:r>
      <w:r>
        <w:rPr>
          <w:rFonts w:ascii="Inter" w:hAnsi="Inter"/>
        </w:rPr>
        <w:t xml:space="preserve"> when they walk into your classroom? - How will you create that feeling?</w:t>
      </w:r>
    </w:p>
    <w:p>
      <w:pPr>
        <w:pStyle w:val="BodyText"/>
        <w:numPr>
          <w:ilvl w:val="0"/>
          <w:numId w:val="1"/>
        </w:numPr>
        <w:rPr/>
      </w:pPr>
      <w:r>
        <w:rPr>
          <w:rFonts w:ascii="Inter" w:hAnsi="Inter"/>
          <w:b w:val="false"/>
          <w:bCs w:val="false"/>
          <w:i/>
          <w:iCs/>
          <w:color w:val="000000"/>
        </w:rPr>
        <w:t>Your Role</w:t>
      </w:r>
      <w:r>
        <w:rPr>
          <w:rFonts w:ascii="Inter" w:hAnsi="Inter"/>
        </w:rPr>
        <w:t xml:space="preserve"> - How do you see yourself as a teacher—facilitator, coach, expert, guide? - What does that look like in practice?</w:t>
      </w:r>
    </w:p>
    <w:p>
      <w:pPr>
        <w:pStyle w:val="BodyText"/>
        <w:numPr>
          <w:ilvl w:val="0"/>
          <w:numId w:val="1"/>
        </w:numPr>
        <w:rPr/>
      </w:pPr>
      <w:r>
        <w:rPr>
          <w:rFonts w:ascii="Inter" w:hAnsi="Inter"/>
          <w:b w:val="false"/>
          <w:bCs w:val="false"/>
          <w:i/>
          <w:iCs/>
          <w:color w:val="000000"/>
        </w:rPr>
        <w:t>Student Experience</w:t>
      </w:r>
      <w:r>
        <w:rPr>
          <w:rFonts w:ascii="Inter" w:hAnsi="Inter"/>
        </w:rPr>
        <w:t xml:space="preserve"> - What will students </w:t>
      </w:r>
      <w:r>
        <w:rPr>
          <w:rFonts w:ascii="Inter" w:hAnsi="Inter"/>
          <w:i/>
          <w:iCs/>
        </w:rPr>
        <w:t>do</w:t>
      </w:r>
      <w:r>
        <w:rPr>
          <w:rFonts w:ascii="Inter" w:hAnsi="Inter"/>
        </w:rPr>
        <w:t xml:space="preserve"> in your classroom? - What kinds of thinking and collaboration will you cultivate?</w:t>
      </w:r>
    </w:p>
    <w:p>
      <w:pPr>
        <w:pStyle w:val="BodyText"/>
        <w:numPr>
          <w:ilvl w:val="0"/>
          <w:numId w:val="1"/>
        </w:numPr>
        <w:rPr/>
      </w:pPr>
      <w:r>
        <w:rPr>
          <w:rFonts w:ascii="Inter" w:hAnsi="Inter"/>
          <w:b w:val="false"/>
          <w:bCs w:val="false"/>
          <w:i/>
          <w:iCs/>
          <w:color w:val="000000"/>
        </w:rPr>
        <w:t>Your Non-Negotiables</w:t>
      </w:r>
      <w:r>
        <w:rPr>
          <w:rFonts w:ascii="Inter" w:hAnsi="Inter"/>
          <w:b w:val="false"/>
          <w:bCs w:val="false"/>
          <w:i/>
          <w:iCs/>
          <w:color w:val="000000"/>
        </w:rPr>
        <w:t xml:space="preserve"> </w:t>
      </w:r>
      <w:r>
        <w:rPr>
          <w:rFonts w:ascii="Inter" w:hAnsi="Inter"/>
        </w:rPr>
        <w:t>- What are 2–3 things you will absolutely insist on? - Why do these matter to you?</w:t>
      </w:r>
    </w:p>
    <w:p>
      <w:pPr>
        <w:pStyle w:val="BodyText"/>
        <w:numPr>
          <w:ilvl w:val="0"/>
          <w:numId w:val="1"/>
        </w:numPr>
        <w:rPr/>
      </w:pPr>
      <w:r>
        <w:rPr>
          <w:rFonts w:ascii="Inter" w:hAnsi="Inter"/>
          <w:b w:val="false"/>
          <w:bCs w:val="false"/>
          <w:i/>
          <w:iCs/>
          <w:color w:val="000000"/>
        </w:rPr>
        <w:t>Connection to Readings</w:t>
      </w:r>
      <w:r>
        <w:rPr>
          <w:rFonts w:ascii="Inter" w:hAnsi="Inter"/>
        </w:rPr>
        <w:t xml:space="preserve"> - Reference at least one idea from course readings (Boaler or Lockhart) - How does that idea connect to your vision?</w:t>
      </w:r>
    </w:p>
    <w:p>
      <w:pPr>
        <w:pStyle w:val="BodyText"/>
        <w:rPr/>
      </w:pPr>
      <w:r>
        <w:rPr>
          <w:rFonts w:ascii="Inter" w:hAnsi="Inter"/>
          <w:b/>
          <w:bCs/>
          <w:color w:val="0F4761"/>
        </w:rPr>
        <w:t>3. How will my work be assessed? (15 pts)</w:t>
      </w:r>
    </w:p>
    <w:tbl>
      <w:tblPr>
        <w:tblStyle w:val="Table"/>
        <w:tblW w:w="485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8910"/>
        <w:gridCol w:w="1565"/>
      </w:tblGrid>
      <w:tr>
        <w:trPr>
          <w:tblHeader w:val="true"/>
        </w:trPr>
        <w:tc>
          <w:tcPr>
            <w:tcW w:w="891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Inter" w:hAnsi="Inter"/>
                <w:b/>
                <w:bCs/>
                <w:kern w:val="0"/>
                <w:sz w:val="24"/>
                <w:szCs w:val="24"/>
                <w:lang w:val="en-US" w:eastAsia="en-US" w:bidi="ar-SA"/>
              </w:rPr>
              <w:t>Criteria</w:t>
            </w:r>
          </w:p>
        </w:tc>
        <w:tc>
          <w:tcPr>
            <w:tcW w:w="156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Inter" w:hAnsi="Inter"/>
                <w:b/>
                <w:bCs/>
                <w:kern w:val="0"/>
                <w:sz w:val="24"/>
                <w:szCs w:val="24"/>
                <w:lang w:val="en-US" w:eastAsia="en-US" w:bidi="ar-SA"/>
              </w:rPr>
              <w:t>Points</w:t>
            </w:r>
          </w:p>
        </w:tc>
      </w:tr>
      <w:tr>
        <w:trPr/>
        <w:tc>
          <w:tcPr>
            <w:tcW w:w="89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b w:val="false"/>
                <w:bCs w:val="false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Inter" w:hAnsi="Inter"/>
                <w:b w:val="false"/>
                <w:bCs w:val="false"/>
                <w:color w:val="000000"/>
                <w:kern w:val="0"/>
                <w:sz w:val="24"/>
                <w:szCs w:val="24"/>
                <w:lang w:val="en-US" w:eastAsia="en-US" w:bidi="ar-SA"/>
              </w:rPr>
              <w:t>Details/Specificity:</w:t>
            </w:r>
            <w:r>
              <w:rPr>
                <w:rFonts w:eastAsia="Cambria" w:cs="" w:ascii="Inter" w:hAnsi="Inter"/>
                <w:b w:val="false"/>
                <w:bCs w:val="false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Paints a clear, vivid picture of your classroom—not vague platitudes but concrete details about atmosphere, your role, and student experience</w:t>
            </w:r>
          </w:p>
        </w:tc>
        <w:tc>
          <w:tcPr>
            <w:tcW w:w="156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Inter" w:hAnsi="Inter"/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</w:tr>
      <w:tr>
        <w:trPr/>
        <w:tc>
          <w:tcPr>
            <w:tcW w:w="89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b w:val="false"/>
                <w:bCs w:val="false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Inter" w:hAnsi="Inter"/>
                <w:b w:val="false"/>
                <w:bCs w:val="false"/>
                <w:color w:val="000000"/>
                <w:kern w:val="0"/>
                <w:sz w:val="24"/>
                <w:szCs w:val="24"/>
                <w:lang w:val="en-US" w:eastAsia="en-US" w:bidi="ar-SA"/>
              </w:rPr>
              <w:t>Non-Negotiables:</w:t>
            </w:r>
            <w:r>
              <w:rPr>
                <w:rFonts w:eastAsia="Cambria" w:cs="" w:ascii="Inter" w:hAnsi="Inter"/>
                <w:b w:val="false"/>
                <w:bCs w:val="false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Identifies 2–3 specific non-negotiables with reasoning that explains </w:t>
            </w:r>
            <w:r>
              <w:rPr>
                <w:rFonts w:eastAsia="Cambria" w:cs="" w:ascii="Inter" w:hAnsi="Inter"/>
                <w:b w:val="false"/>
                <w:bCs w:val="false"/>
                <w:i/>
                <w:iCs/>
                <w:color w:val="000000"/>
                <w:kern w:val="0"/>
                <w:sz w:val="24"/>
                <w:szCs w:val="24"/>
                <w:lang w:val="en-US" w:eastAsia="en-US" w:bidi="ar-SA"/>
              </w:rPr>
              <w:t>why</w:t>
            </w:r>
            <w:r>
              <w:rPr>
                <w:rFonts w:eastAsia="Cambria" w:cs="" w:ascii="Inter" w:hAnsi="Inter"/>
                <w:b w:val="false"/>
                <w:bCs w:val="false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these matter to you</w:t>
            </w:r>
          </w:p>
        </w:tc>
        <w:tc>
          <w:tcPr>
            <w:tcW w:w="156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Inter" w:hAnsi="Inter"/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</w:tr>
      <w:tr>
        <w:trPr/>
        <w:tc>
          <w:tcPr>
            <w:tcW w:w="89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b w:val="false"/>
                <w:bCs w:val="false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Inter" w:hAnsi="Inter"/>
                <w:b w:val="false"/>
                <w:bCs w:val="false"/>
                <w:color w:val="000000"/>
                <w:kern w:val="0"/>
                <w:sz w:val="24"/>
                <w:szCs w:val="24"/>
                <w:lang w:val="en-US" w:eastAsia="en-US" w:bidi="ar-SA"/>
              </w:rPr>
              <w:t>Connection to Readings:</w:t>
            </w:r>
            <w:r>
              <w:rPr>
                <w:rFonts w:eastAsia="Cambria" w:cs="" w:ascii="Inter" w:hAnsi="Inter"/>
                <w:b w:val="false"/>
                <w:bCs w:val="false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Meaningfully connects your vision to at least one idea from course readings (Boaler or Lockhart)—not just name-dropping but genuine engagement</w:t>
            </w:r>
          </w:p>
        </w:tc>
        <w:tc>
          <w:tcPr>
            <w:tcW w:w="156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Inter" w:hAnsi="Inter"/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</w:tr>
    </w:tbl>
    <w:p>
      <w:pPr>
        <w:pStyle w:val="BodyText"/>
        <w:rPr/>
      </w:pPr>
      <w:r>
        <w:rPr>
          <w:rFonts w:ascii="Inter" w:hAnsi="Inter"/>
          <w:b/>
          <w:bCs/>
          <w:color w:val="0F4761"/>
        </w:rPr>
        <w:t>4. Submission</w:t>
      </w:r>
    </w:p>
    <w:p>
      <w:pPr>
        <w:pStyle w:val="BodyText"/>
        <w:spacing w:before="180" w:after="180"/>
        <w:rPr/>
      </w:pPr>
      <w:r>
        <w:rPr>
          <w:rFonts w:ascii="Inter" w:hAnsi="Inter"/>
        </w:rPr>
        <w:t xml:space="preserve">Submit </w:t>
      </w:r>
      <w:r>
        <w:rPr>
          <w:rFonts w:ascii="Inter" w:hAnsi="Inter"/>
        </w:rPr>
        <w:t>an MS Word or PDF file by the due date listed in CANVAS.</w:t>
      </w:r>
    </w:p>
    <w:sectPr>
      <w:type w:val="nextPage"/>
      <w:pgSz w:w="12240" w:h="15840"/>
      <w:pgMar w:left="720" w:right="720" w:gutter="0" w:header="0" w:top="720" w:footer="0" w:bottom="72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Inter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Application>LibreOffice/24.2.7.2$Linux_X86_64 LibreOffice_project/420$Build-2</Application>
  <AppVersion>15.0000</AppVersion>
  <Pages>1</Pages>
  <Words>305</Words>
  <Characters>1482</Characters>
  <CharactersWithSpaces>1755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2026-01-24T02:50:04Z</dcterms:created>
  <dc:creator/>
  <dc:description/>
  <dc:language>en-US</dc:language>
  <cp:lastModifiedBy/>
  <dcterms:modified xsi:type="dcterms:W3CDTF">2026-01-23T22:00:15Z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