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rPr>
          <w:b/>
          <w:bCs/>
          <w:sz w:val="24"/>
          <w:szCs w:val="24"/>
        </w:rPr>
      </w:pPr>
      <w:r>
        <w:rPr>
          <w:b/>
          <w:bCs/>
          <w:sz w:val="24"/>
          <w:szCs w:val="24"/>
        </w:rPr>
        <w:t>Your Writer's Notebook</w:t>
      </w:r>
    </w:p>
    <w:p>
      <w:pPr>
        <w:pStyle w:val="normal1"/>
        <w:spacing w:lineRule="auto" w:line="240" w:before="0" w:after="0"/>
        <w:rPr>
          <w:b/>
          <w:bCs/>
          <w:sz w:val="24"/>
          <w:szCs w:val="24"/>
        </w:rPr>
      </w:pPr>
      <w:r>
        <w:rPr>
          <w:b/>
          <w:bCs/>
          <w:sz w:val="24"/>
          <w:szCs w:val="24"/>
        </w:rPr>
        <w:t>TCE 284 FA26 (Edwards)</w:t>
      </w:r>
    </w:p>
    <w:p>
      <w:pPr>
        <w:pStyle w:val="normal1"/>
        <w:spacing w:lineRule="auto" w:line="240" w:before="0" w:after="0"/>
        <w:rPr>
          <w:b/>
          <w:bCs/>
          <w:sz w:val="24"/>
          <w:szCs w:val="24"/>
        </w:rPr>
      </w:pPr>
      <w:r>
        <w:rPr>
          <w:b/>
          <w:bCs/>
          <w:sz w:val="24"/>
          <w:szCs w:val="24"/>
        </w:rPr>
        <w:t>50 points possible</w:t>
      </w:r>
    </w:p>
    <w:p>
      <w:pPr>
        <w:pStyle w:val="Heading2"/>
        <w:rPr/>
      </w:pPr>
      <w:r>
        <w:rPr/>
        <w:t>1. What's This All About?</w:t>
      </w:r>
    </w:p>
    <w:p>
      <w:pPr>
        <w:pStyle w:val="normal1"/>
        <w:rPr/>
      </w:pPr>
      <w:r>
        <w:rPr/>
        <w:t>Writers keep notebooks. Not because someone collects them, but because writing that matters almost never arrives finished. It arrives as a fragment, an overheard line, a question you cannot let go of. The notebook is where those land so they are not lost.</w:t>
      </w:r>
    </w:p>
    <w:p>
      <w:pPr>
        <w:pStyle w:val="normal1"/>
        <w:rPr/>
      </w:pPr>
      <w:r>
        <w:rPr/>
        <w:t xml:space="preserve">This is a quarter of your grade, and it is the only part of this course graded on </w:t>
      </w:r>
      <w:r>
        <w:rPr>
          <w:b/>
          <w:bCs/>
        </w:rPr>
        <w:t>practice rather than polish</w:t>
      </w:r>
      <w:r>
        <w:rPr/>
        <w:t>. Nothing in here gets red-penned. Spelling does not count. Sentences that fall apart do not count against you. What counts is that you wrote, often, and that you were actually thinking while you did it.</w:t>
      </w:r>
    </w:p>
    <w:p>
      <w:pPr>
        <w:pStyle w:val="normal1"/>
        <w:rPr/>
      </w:pPr>
      <w:r>
        <w:rPr/>
        <w:t>You will write in it in nearly every class and on your own. Expect 20 or more entries by December — typically one per class meeting.</w:t>
      </w:r>
    </w:p>
    <w:p>
      <w:pPr>
        <w:pStyle w:val="Heading2"/>
        <w:rPr/>
      </w:pPr>
      <w:r>
        <w:rPr/>
        <w:t>2. What Goes In It</w:t>
      </w:r>
    </w:p>
    <w:p>
      <w:pPr>
        <w:pStyle w:val="normal1"/>
        <w:numPr>
          <w:ilvl w:val="0"/>
          <w:numId w:val="1"/>
        </w:numPr>
        <w:spacing w:before="0" w:afterAutospacing="0" w:after="0"/>
        <w:ind w:hanging="360" w:start="720"/>
        <w:rPr>
          <w:u w:val="none"/>
        </w:rPr>
      </w:pPr>
      <w:r>
        <w:rPr/>
        <w:t xml:space="preserve">Every </w:t>
      </w:r>
      <w:r>
        <w:rPr>
          <w:b/>
          <w:bCs/>
        </w:rPr>
        <w:t>free-write</w:t>
      </w:r>
      <w:r>
        <w:rPr/>
        <w:t xml:space="preserve">, including the Week 1 </w:t>
      </w:r>
      <w:r>
        <w:rPr>
          <w:i/>
          <w:iCs/>
        </w:rPr>
        <w:t>why do we write?</w:t>
      </w:r>
      <w:r>
        <w:rPr/>
        <w:t xml:space="preserve"> baseline and the daily openers</w:t>
      </w:r>
    </w:p>
    <w:p>
      <w:pPr>
        <w:pStyle w:val="normal1"/>
        <w:numPr>
          <w:ilvl w:val="0"/>
          <w:numId w:val="1"/>
        </w:numPr>
        <w:spacing w:before="0" w:afterAutospacing="0" w:after="0"/>
        <w:ind w:hanging="360" w:start="720"/>
        <w:rPr>
          <w:u w:val="none"/>
        </w:rPr>
      </w:pPr>
      <w:r>
        <w:rPr/>
        <w:t xml:space="preserve">In-class </w:t>
      </w:r>
      <w:r>
        <w:rPr>
          <w:b/>
          <w:bCs/>
        </w:rPr>
        <w:t>quick-writes and exercises</w:t>
      </w:r>
    </w:p>
    <w:p>
      <w:pPr>
        <w:pStyle w:val="normal1"/>
        <w:numPr>
          <w:ilvl w:val="0"/>
          <w:numId w:val="1"/>
        </w:numPr>
        <w:spacing w:before="0" w:afterAutospacing="0" w:after="0"/>
        <w:ind w:hanging="360" w:start="720"/>
        <w:rPr>
          <w:u w:val="none"/>
        </w:rPr>
      </w:pPr>
      <w:r>
        <w:rPr/>
        <w:t xml:space="preserve">Your currere </w:t>
      </w:r>
      <w:r>
        <w:rPr>
          <w:b/>
          <w:bCs/>
        </w:rPr>
        <w:t>gushes, brainstorms, and storyboard notes</w:t>
      </w:r>
    </w:p>
    <w:p>
      <w:pPr>
        <w:pStyle w:val="normal1"/>
        <w:numPr>
          <w:ilvl w:val="0"/>
          <w:numId w:val="1"/>
        </w:numPr>
        <w:spacing w:before="0" w:afterAutospacing="0" w:after="0"/>
        <w:ind w:hanging="360" w:start="720"/>
        <w:rPr>
          <w:u w:val="none"/>
        </w:rPr>
      </w:pPr>
      <w:r>
        <w:rPr/>
        <w:t xml:space="preserve">Your research </w:t>
      </w:r>
      <w:r>
        <w:rPr>
          <w:b/>
          <w:bCs/>
        </w:rPr>
        <w:t>topic map and source notes</w:t>
      </w:r>
    </w:p>
    <w:p>
      <w:pPr>
        <w:pStyle w:val="normal1"/>
        <w:numPr>
          <w:ilvl w:val="0"/>
          <w:numId w:val="1"/>
        </w:numPr>
        <w:spacing w:before="0" w:afterAutospacing="0" w:after="0"/>
        <w:ind w:hanging="360" w:start="720"/>
        <w:rPr>
          <w:u w:val="none"/>
        </w:rPr>
      </w:pPr>
      <w:r>
        <w:rPr/>
        <w:t>A course reading you marked up and wrote about — three comments or more. One reading is one entry, however many comments it holds.</w:t>
      </w:r>
    </w:p>
    <w:p>
      <w:pPr>
        <w:pStyle w:val="normal1"/>
        <w:numPr>
          <w:ilvl w:val="0"/>
          <w:numId w:val="1"/>
        </w:numPr>
        <w:spacing w:before="0" w:afterAutospacing="0" w:after="0"/>
        <w:ind w:hanging="360" w:start="720"/>
        <w:rPr>
          <w:u w:val="none"/>
        </w:rPr>
      </w:pPr>
      <w:r>
        <w:rPr/>
        <w:t xml:space="preserve">The Week 15 </w:t>
      </w:r>
      <w:r>
        <w:rPr>
          <w:b/>
          <w:bCs/>
        </w:rPr>
        <w:t>Look-Back Letter</w:t>
      </w:r>
      <w:r>
        <w:rPr/>
        <w:t xml:space="preserve"> to the writer who answered </w:t>
      </w:r>
      <w:r>
        <w:rPr>
          <w:i/>
          <w:iCs/>
        </w:rPr>
        <w:t>why do we write?</w:t>
      </w:r>
      <w:r>
        <w:rPr/>
        <w:t xml:space="preserve"> on the first day</w:t>
      </w:r>
    </w:p>
    <w:p>
      <w:pPr>
        <w:pStyle w:val="normal1"/>
        <w:numPr>
          <w:ilvl w:val="0"/>
          <w:numId w:val="1"/>
        </w:numPr>
        <w:spacing w:before="0" w:afterAutospacing="0" w:after="0"/>
        <w:ind w:hanging="360" w:start="720"/>
        <w:rPr>
          <w:u w:val="none"/>
        </w:rPr>
      </w:pPr>
      <w:r>
        <w:rPr/>
        <w:t>Anything else you want to keep: lines you overheard, images, questions, false starts</w:t>
      </w:r>
    </w:p>
    <w:p>
      <w:pPr>
        <w:pStyle w:val="normal1"/>
        <w:rPr/>
      </w:pPr>
      <w:r>
        <w:rPr>
          <w:b/>
          <w:bCs/>
        </w:rPr>
        <w:t>Your timed One-Pager gushes do not go here.</w:t>
      </w:r>
      <w:r>
        <w:rPr/>
        <w:t xml:space="preserve"> Each one is submitted on sheet two of the One-Pager PDF it produced. It is the same writing either way, and it belongs with the piece it became. Nothing gets counted twice.</w:t>
      </w:r>
    </w:p>
    <w:p>
      <w:pPr>
        <w:pStyle w:val="Heading2"/>
        <w:rPr/>
      </w:pPr>
      <w:r>
        <w:rPr/>
        <w:t>How to Reach 20 or More</w:t>
      </w:r>
    </w:p>
    <w:p>
      <w:pPr>
        <w:pStyle w:val="normal1"/>
        <w:numPr>
          <w:ilvl w:val="0"/>
          <w:numId w:val="1"/>
        </w:numPr>
        <w:spacing w:before="0" w:afterAutospacing="0" w:after="0"/>
        <w:ind w:hanging="360" w:start="720"/>
        <w:rPr>
          <w:u w:val="none"/>
        </w:rPr>
      </w:pPr>
      <w:r>
        <w:rPr>
          <w:u w:val="none"/>
        </w:rPr>
        <w:t>We meet 27 times this term. One kept entry per meeting clears 20 on its own — the rest is what you write on your own.</w:t>
      </w:r>
    </w:p>
    <w:p>
      <w:pPr>
        <w:pStyle w:val="normal1"/>
        <w:numPr>
          <w:ilvl w:val="0"/>
          <w:numId w:val="1"/>
        </w:numPr>
        <w:spacing w:before="0" w:afterAutospacing="0" w:after="0"/>
        <w:ind w:hanging="360" w:start="720"/>
        <w:rPr>
          <w:u w:val="none"/>
        </w:rPr>
      </w:pPr>
      <w:r>
        <w:rPr>
          <w:u w:val="none"/>
        </w:rPr>
        <w:t>In-class writing, most meetings — the daily opener, quick-writes, exercises: roughly 18–25</w:t>
      </w:r>
    </w:p>
    <w:p>
      <w:pPr>
        <w:pStyle w:val="normal1"/>
        <w:numPr>
          <w:ilvl w:val="0"/>
          <w:numId w:val="1"/>
        </w:numPr>
        <w:spacing w:before="0" w:afterAutospacing="0" w:after="0"/>
        <w:ind w:hanging="360" w:start="720"/>
        <w:rPr>
          <w:u w:val="none"/>
        </w:rPr>
      </w:pPr>
      <w:r>
        <w:rPr>
          <w:u w:val="none"/>
        </w:rPr>
        <w:t>The Week 1 baseline, why do we write?: 1</w:t>
      </w:r>
    </w:p>
    <w:p>
      <w:pPr>
        <w:pStyle w:val="normal1"/>
        <w:numPr>
          <w:ilvl w:val="0"/>
          <w:numId w:val="1"/>
        </w:numPr>
        <w:spacing w:before="0" w:afterAutospacing="0" w:after="0"/>
        <w:ind w:hanging="360" w:start="720"/>
        <w:rPr>
          <w:u w:val="none"/>
        </w:rPr>
      </w:pPr>
      <w:r>
        <w:rPr>
          <w:u w:val="none"/>
        </w:rPr>
        <w:t>The four currere movements, plus brainstorms and storyboard notes: 4–6</w:t>
      </w:r>
    </w:p>
    <w:p>
      <w:pPr>
        <w:pStyle w:val="normal1"/>
        <w:numPr>
          <w:ilvl w:val="0"/>
          <w:numId w:val="1"/>
        </w:numPr>
        <w:spacing w:before="0" w:afterAutospacing="0" w:after="0"/>
        <w:ind w:hanging="360" w:start="720"/>
        <w:rPr>
          <w:u w:val="none"/>
        </w:rPr>
      </w:pPr>
      <w:r>
        <w:rPr>
          <w:u w:val="none"/>
        </w:rPr>
        <w:t>Your topic map and your source notes: 2</w:t>
      </w:r>
    </w:p>
    <w:p>
      <w:pPr>
        <w:pStyle w:val="normal1"/>
        <w:numPr>
          <w:ilvl w:val="0"/>
          <w:numId w:val="1"/>
        </w:numPr>
        <w:spacing w:before="0" w:afterAutospacing="0" w:after="0"/>
        <w:ind w:hanging="360" w:start="720"/>
        <w:rPr>
          <w:u w:val="none"/>
        </w:rPr>
      </w:pPr>
      <w:r>
        <w:rPr>
          <w:u w:val="none"/>
        </w:rPr>
        <w:t xml:space="preserve">Course readings you annotate and write about: as many as you do — </w:t>
      </w:r>
      <w:r>
        <w:rPr>
          <w:b/>
          <w:bCs/>
          <w:u w:val="single"/>
        </w:rPr>
        <w:t>three comments</w:t>
      </w:r>
      <w:r>
        <w:rPr>
          <w:b/>
          <w:bCs/>
          <w:u w:val="none"/>
        </w:rPr>
        <w:t xml:space="preserve"> makes one an entry.</w:t>
      </w:r>
    </w:p>
    <w:p>
      <w:pPr>
        <w:pStyle w:val="normal1"/>
        <w:numPr>
          <w:ilvl w:val="0"/>
          <w:numId w:val="1"/>
        </w:numPr>
        <w:spacing w:before="0" w:afterAutospacing="0" w:after="0"/>
        <w:ind w:hanging="360" w:start="720"/>
        <w:rPr>
          <w:u w:val="none"/>
        </w:rPr>
      </w:pPr>
      <w:r>
        <w:rPr>
          <w:u w:val="none"/>
        </w:rPr>
        <w:t>The Week 15 Look-Back Letter: 1</w:t>
      </w:r>
    </w:p>
    <w:p>
      <w:pPr>
        <w:pStyle w:val="normal1"/>
        <w:numPr>
          <w:ilvl w:val="0"/>
          <w:numId w:val="1"/>
        </w:numPr>
        <w:spacing w:before="0" w:afterAutospacing="0" w:after="0"/>
        <w:ind w:hanging="360" w:start="720"/>
        <w:rPr>
          <w:u w:val="none"/>
        </w:rPr>
      </w:pPr>
      <w:r>
        <w:rPr>
          <w:u w:val="none"/>
        </w:rPr>
        <w:t>Anything you keep on your own — an overheard line, a false start, a question you cannot drop</w:t>
      </w:r>
    </w:p>
    <w:p>
      <w:pPr>
        <w:pStyle w:val="normal1"/>
        <w:numPr>
          <w:ilvl w:val="0"/>
          <w:numId w:val="1"/>
        </w:numPr>
        <w:spacing w:before="0" w:afterAutospacing="0" w:after="0"/>
        <w:ind w:hanging="360" w:start="720"/>
        <w:rPr>
          <w:u w:val="none"/>
        </w:rPr>
      </w:pPr>
      <w:r>
        <w:rPr>
          <w:u w:val="none"/>
        </w:rPr>
        <w:t>The five timed One-Pager gushes are not counted here; they ride with the piece they became.</w:t>
      </w:r>
    </w:p>
    <w:p>
      <w:pPr>
        <w:pStyle w:val="Heading2"/>
        <w:rPr/>
      </w:pPr>
      <w:r>
        <w:rPr/>
        <w:t>3. Where You Keep It</w:t>
      </w:r>
    </w:p>
    <w:p>
      <w:pPr>
        <w:pStyle w:val="normal1"/>
        <w:rPr/>
      </w:pPr>
      <w:r>
        <w:rPr>
          <w:b/>
          <w:bCs/>
        </w:rPr>
        <w:t>Keep it in Journaler. It dates and numbers your entries as you go, builds the Contents list for you, and turns the whole thing in with one click — none of which you want to be doing by hand in December. The five timed One-Pager drafts happen there too, because the edit-lock is what keeps a timed draft honest. If a computer is a real barrier for you, come talk to me and we will work something out.</w:t>
      </w:r>
    </w:p>
    <w:p>
      <w:pPr>
        <w:pStyle w:val="Heading2"/>
        <w:rPr/>
      </w:pPr>
      <w:r>
        <w:rPr/>
        <w:t>4. How It Has to Be Organized</w:t>
      </w:r>
    </w:p>
    <w:p>
      <w:pPr>
        <w:pStyle w:val="normal1"/>
        <w:rPr/>
      </w:pPr>
      <w:r>
        <w:rPr/>
        <w:t>Journaler produces all of this for you when you choose Bundle → PDF. Three things every notebook has:</w:t>
      </w:r>
    </w:p>
    <w:p>
      <w:pPr>
        <w:pStyle w:val="normal1"/>
        <w:numPr>
          <w:ilvl w:val="0"/>
          <w:numId w:val="1"/>
        </w:numPr>
        <w:spacing w:before="0" w:afterAutospacing="0" w:after="0"/>
        <w:ind w:hanging="360" w:start="720"/>
        <w:rPr>
          <w:u w:val="none"/>
        </w:rPr>
      </w:pPr>
      <w:r>
        <w:rPr>
          <w:b/>
          <w:bCs/>
        </w:rPr>
        <w:t>Date every entry.</w:t>
      </w:r>
      <w:r>
        <w:rPr/>
        <w:t xml:space="preserve"> A notebook is a record of a practice over time, and an undated entry cannot show that.</w:t>
      </w:r>
    </w:p>
    <w:p>
      <w:pPr>
        <w:pStyle w:val="normal1"/>
        <w:numPr>
          <w:ilvl w:val="0"/>
          <w:numId w:val="1"/>
        </w:numPr>
        <w:spacing w:before="0" w:afterAutospacing="0" w:after="0"/>
        <w:ind w:hanging="360" w:start="720"/>
        <w:rPr>
          <w:u w:val="none"/>
        </w:rPr>
      </w:pPr>
      <w:r>
        <w:rPr>
          <w:b/>
          <w:bCs/>
        </w:rPr>
        <w:t>Number every entry</w:t>
      </w:r>
      <w:r>
        <w:rPr/>
        <w:t xml:space="preserve">, 1 to however many you have, in date order. Not page numbers — </w:t>
      </w:r>
      <w:r>
        <w:rPr>
          <w:i/>
          <w:iCs/>
        </w:rPr>
        <w:t>entry</w:t>
      </w:r>
      <w:r>
        <w:rPr/>
        <w:t xml:space="preserve"> numbers, so we can both say “entry 17” and mean the same thing.</w:t>
      </w:r>
    </w:p>
    <w:p>
      <w:pPr>
        <w:pStyle w:val="normal1"/>
        <w:numPr>
          <w:ilvl w:val="0"/>
          <w:numId w:val="1"/>
        </w:numPr>
        <w:spacing w:before="0" w:afterAutospacing="0" w:after="0"/>
        <w:ind w:hanging="360" w:start="720"/>
        <w:rPr>
          <w:u w:val="none"/>
        </w:rPr>
      </w:pPr>
      <w:r>
        <w:rPr>
          <w:b/>
          <w:bCs/>
        </w:rPr>
        <w:t>Put a Contents list at the front</w:t>
      </w:r>
      <w:r>
        <w:rPr/>
        <w:t>: number, date, word count, and the opening words of each entry.</w:t>
      </w:r>
    </w:p>
    <w:p>
      <w:pPr>
        <w:pStyle w:val="normal1"/>
        <w:rPr/>
      </w:pPr>
      <w:r>
        <w:rPr/>
      </w:r>
    </w:p>
    <w:p>
      <w:pPr>
        <w:pStyle w:val="normal1"/>
        <w:rPr/>
      </w:pPr>
      <w:r>
        <w:rPr>
          <w:b/>
          <w:bCs/>
        </w:rPr>
        <w:t>You do not turn in the whole notebook.</w:t>
      </w:r>
      <w:r>
        <w:rPr/>
        <w:t xml:space="preserve"> You turn in a </w:t>
      </w:r>
      <w:r>
        <w:rPr>
          <w:b/>
          <w:bCs/>
        </w:rPr>
        <w:t>report</w:t>
      </w:r>
      <w:r>
        <w:rPr/>
        <w:t xml:space="preserve"> — about eight to ten pages — and the Contents list stands in for everything else. That is deliberate. Deciding what is worth another reader's time is the same judgment this course asks of you on every One-Pager. Your report contains:</w:t>
      </w:r>
    </w:p>
    <w:tbl>
      <w:tblPr>
        <w:tblStyle w:val="Table1"/>
        <w:tblW w:w="10725" w:type="dxa"/>
        <w:jc w:val="start"/>
        <w:tblInd w:w="-3" w:type="dxa"/>
        <w:tblLayout w:type="fixed"/>
        <w:tblCellMar>
          <w:top w:w="40" w:type="dxa"/>
          <w:start w:w="108" w:type="dxa"/>
          <w:bottom w:w="40" w:type="dxa"/>
          <w:end w:w="108" w:type="dxa"/>
        </w:tblCellMar>
        <w:tblLook w:val="0000"/>
      </w:tblPr>
      <w:tblGrid>
        <w:gridCol w:w="1754"/>
        <w:gridCol w:w="8971"/>
      </w:tblGrid>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Cover</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The counts, and where each required thing is</w:t>
            </w:r>
          </w:p>
        </w:tc>
      </w:tr>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 1</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Contents — every entry, numbered, dated, with its word count</w:t>
            </w:r>
          </w:p>
        </w:tc>
      </w:tr>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 2</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Your four required entries, in full</w:t>
            </w:r>
          </w:p>
        </w:tc>
      </w:tr>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 3</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Your Look-Back Letter</w:t>
            </w:r>
          </w:p>
        </w:tc>
      </w:tr>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 4</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The three entries you flagged, in full</w:t>
            </w:r>
          </w:p>
        </w:tc>
      </w:tr>
      <w:tr>
        <w:trPr/>
        <w:tc>
          <w:tcPr>
            <w:tcW w:w="1754"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 5</w:t>
            </w:r>
          </w:p>
        </w:tc>
        <w:tc>
          <w:tcPr>
            <w:tcW w:w="8971"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Your threads, and your reading of one</w:t>
            </w:r>
          </w:p>
        </w:tc>
      </w:tr>
    </w:tbl>
    <w:p>
      <w:pPr>
        <w:pStyle w:val="Heading2"/>
        <w:rPr/>
      </w:pPr>
      <w:r>
        <w:rPr/>
        <w:t>5. Flag Three Entries</w:t>
      </w:r>
    </w:p>
    <w:p>
      <w:pPr>
        <w:pStyle w:val="normal1"/>
        <w:rPr/>
      </w:pPr>
      <w:r>
        <w:rPr/>
        <w:t xml:space="preserve">When you turn the notebook in, </w:t>
      </w:r>
      <w:r>
        <w:rPr>
          <w:b/>
          <w:bCs/>
        </w:rPr>
        <w:t>mark three entries you want read closely</w:t>
      </w:r>
      <w:r>
        <w:rPr/>
        <w:t xml:space="preserve"> — one from each act of the course. Write their numbers on the cover. Those three, and only those three, are what I read for the </w:t>
      </w:r>
      <w:r>
        <w:rPr>
          <w:i/>
          <w:iCs/>
        </w:rPr>
        <w:t>Thinking on the page</w:t>
      </w:r>
      <w:r>
        <w:rPr/>
        <w:t xml:space="preserve"> row below.</w:t>
      </w:r>
    </w:p>
    <w:p>
      <w:pPr>
        <w:pStyle w:val="normal1"/>
        <w:rPr/>
      </w:pPr>
      <w:r>
        <w:rPr/>
        <w:t xml:space="preserve">The acts are Act I — Become a Writer (Aug 24 – Sep 23), Act II — The Currere (Sep 28 – Oct 30), and Act III — Multimodal Research Project (Nov 2 – Dec 2). </w:t>
      </w:r>
      <w:r>
        <w:rPr>
          <w:b/>
          <w:bCs/>
        </w:rPr>
        <w:t>Each of the three has to be at least 500 words.</w:t>
      </w:r>
      <w:r>
        <w:rPr/>
        <w:t xml:space="preserve"> That is a floor on these three only, not a target for every entry: it is there so each one has enough in it to be read closely. A reading you keep going back to reaches it without strain — one reading is one entry however many comments it holds, so its comments add up across the whole term. Journaler shows the word count on every entry and marks the three when they clear it.</w:t>
      </w:r>
    </w:p>
    <w:p>
      <w:pPr>
        <w:pStyle w:val="normal1"/>
        <w:rPr/>
      </w:pPr>
      <w:r>
        <w:rPr/>
        <w:t>Two reasons. Everything else stays genuinely unjudged, which is the promise this notebook runs on: you should be able to write badly in it, or write about something difficult, without wondering how it will be scored. And choosing which three is itself an act of judgment. Pick the ones where something happened, not the ones that are tidiest.</w:t>
      </w:r>
    </w:p>
    <w:p>
      <w:pPr>
        <w:pStyle w:val="Heading2"/>
        <w:rPr/>
      </w:pPr>
      <w:r>
        <w:rPr/>
      </w:r>
      <w:r>
        <w:br w:type="page"/>
      </w:r>
    </w:p>
    <w:p>
      <w:pPr>
        <w:pStyle w:val="Heading2"/>
        <w:rPr/>
      </w:pPr>
      <w:r>
        <w:rPr/>
        <w:t>6. Threads, and Writing Your Reading of One</w:t>
      </w:r>
    </w:p>
    <w:p>
      <w:pPr>
        <w:pStyle w:val="normal1"/>
        <w:rPr/>
      </w:pPr>
      <w:r>
        <w:rPr>
          <w:b/>
          <w:bCs/>
        </w:rPr>
        <w:t>A thread is anything that keeps coming back.</w:t>
      </w:r>
      <w:r>
        <w:rPr/>
        <w:t xml:space="preserve"> Your grandmother. The blank page. A room you keep describing. A question you cannot leave alone. You name it, and you put that name on every entry it turns up in — three entries, ten, however many it takes.</w:t>
      </w:r>
    </w:p>
    <w:p>
      <w:pPr>
        <w:pStyle w:val="normal1"/>
        <w:rPr/>
      </w:pPr>
      <w:r>
        <w:rPr>
          <w:b/>
          <w:bCs/>
        </w:rPr>
        <w:t>Before you turn the notebook in, pick one thread and write your reading of it.</w:t>
      </w:r>
      <w:r>
        <w:rPr/>
        <w:t xml:space="preserve"> Two questions: </w:t>
      </w:r>
      <w:r>
        <w:rPr>
          <w:i/>
          <w:iCs/>
        </w:rPr>
        <w:t>what runs through these?</w:t>
      </w:r>
      <w:r>
        <w:rPr/>
        <w:t xml:space="preserve"> and </w:t>
      </w:r>
      <w:r>
        <w:rPr>
          <w:i/>
          <w:iCs/>
        </w:rPr>
        <w:t>what is in the last one that is not in the first?</w:t>
      </w:r>
      <w:r>
        <w:rPr/>
        <w:t xml:space="preserve"> That second one is the whole reason the dates matter. It is not a summary of what you wrote. It is what you now see that you could not see while writing any single entry.</w:t>
      </w:r>
    </w:p>
    <w:p>
      <w:pPr>
        <w:pStyle w:val="normal1"/>
        <w:rPr/>
      </w:pPr>
      <w:r>
        <w:rPr/>
        <w:t xml:space="preserve">If you cannot see a thread yet, that is normal. In Journaler, the Threads view has a panel called </w:t>
      </w:r>
      <w:r>
        <w:rPr>
          <w:b/>
          <w:bCs/>
        </w:rPr>
        <w:t>What keeps coming back</w:t>
      </w:r>
      <w:r>
        <w:rPr/>
        <w:t xml:space="preserve">: words you have used in several entries, with a count. It is a word count, not a reading — it tells you what recurs, not what matters, and some of it will be noise. It cannot see paraphrase either, so </w:t>
      </w:r>
      <w:r>
        <w:rPr>
          <w:i/>
          <w:iCs/>
        </w:rPr>
        <w:t>grandmother · grandma · her kitchen</w:t>
      </w:r>
      <w:r>
        <w:rPr/>
        <w:t xml:space="preserve"> read as three unrelated words. Click one, read those entries together, and decide for yourself. </w:t>
      </w:r>
      <w:r>
        <w:rPr>
          <w:b/>
          <w:bCs/>
        </w:rPr>
        <w:t>The noticing is the assignment.</w:t>
      </w:r>
    </w:p>
    <w:p>
      <w:pPr>
        <w:pStyle w:val="Heading2"/>
        <w:rPr/>
      </w:pPr>
      <w:r>
        <w:rPr/>
        <w:t>7. What “Thinking on the Page” Means</w:t>
      </w:r>
    </w:p>
    <w:p>
      <w:pPr>
        <w:pStyle w:val="normal1"/>
        <w:rPr/>
      </w:pPr>
      <w:r>
        <w:rPr/>
        <w:t xml:space="preserve">You do not have to sound reflective. </w:t>
      </w:r>
      <w:r>
        <w:rPr>
          <w:b/>
          <w:bCs/>
        </w:rPr>
        <w:t>Performed reflection is the thing this row is designed to catch</w:t>
      </w:r>
      <w:r>
        <w:rPr/>
        <w:t>, and it is easy to spot: it travels in a straight line to a conclusion you already held before you started. Real thinking does something else.</w:t>
      </w:r>
    </w:p>
    <w:p>
      <w:pPr>
        <w:pStyle w:val="normal1"/>
        <w:numPr>
          <w:ilvl w:val="0"/>
          <w:numId w:val="1"/>
        </w:numPr>
        <w:spacing w:before="0" w:afterAutospacing="0" w:after="0"/>
        <w:ind w:hanging="360" w:start="720"/>
        <w:rPr>
          <w:u w:val="none"/>
        </w:rPr>
      </w:pPr>
      <w:r>
        <w:rPr>
          <w:b/>
          <w:bCs/>
        </w:rPr>
        <w:t>It turns.</w:t>
      </w:r>
      <w:r>
        <w:rPr/>
        <w:t xml:space="preserve"> You arrive somewhere you were not heading. </w:t>
      </w:r>
      <w:r>
        <w:rPr>
          <w:i/>
          <w:iCs/>
        </w:rPr>
        <w:t>“I thought this was about — actually, no.”</w:t>
      </w:r>
      <w:r>
        <w:rPr/>
        <w:t xml:space="preserve"> That mid-entry change of direction is the clearest signature there is.</w:t>
      </w:r>
    </w:p>
    <w:p>
      <w:pPr>
        <w:pStyle w:val="normal1"/>
        <w:numPr>
          <w:ilvl w:val="0"/>
          <w:numId w:val="1"/>
        </w:numPr>
        <w:spacing w:before="0" w:afterAutospacing="0" w:after="0"/>
        <w:ind w:hanging="360" w:start="720"/>
        <w:rPr>
          <w:u w:val="none"/>
        </w:rPr>
      </w:pPr>
      <w:r>
        <w:rPr>
          <w:b/>
          <w:bCs/>
        </w:rPr>
        <w:t>It connects.</w:t>
      </w:r>
      <w:r>
        <w:rPr/>
        <w:t xml:space="preserve"> An image, a question, or a line comes back weeks later, changed. An entry argues with a reading. Something here shows up in a One-Pager, the currere, or the research project.</w:t>
      </w:r>
    </w:p>
    <w:p>
      <w:pPr>
        <w:pStyle w:val="normal1"/>
        <w:numPr>
          <w:ilvl w:val="0"/>
          <w:numId w:val="1"/>
        </w:numPr>
        <w:spacing w:before="0" w:afterAutospacing="0" w:after="0"/>
        <w:ind w:hanging="360" w:start="720"/>
        <w:rPr>
          <w:u w:val="none"/>
        </w:rPr>
      </w:pPr>
      <w:r>
        <w:rPr>
          <w:b/>
          <w:bCs/>
        </w:rPr>
        <w:t>It goes specific.</w:t>
      </w:r>
      <w:r>
        <w:rPr/>
        <w:t xml:space="preserve"> Under every claim there is an instance. Depth is not intensity of feeling. It is being willing to name the actual thing, and to follow a thought past its first answer.</w:t>
      </w:r>
    </w:p>
    <w:p>
      <w:pPr>
        <w:pStyle w:val="Heading2"/>
        <w:rPr/>
      </w:pPr>
      <w:r>
        <w:rPr/>
        <w:t>Important Dates / Deadlines</w:t>
      </w:r>
    </w:p>
    <w:p>
      <w:pPr>
        <w:pStyle w:val="normal1"/>
        <w:numPr>
          <w:ilvl w:val="0"/>
          <w:numId w:val="1"/>
        </w:numPr>
        <w:spacing w:before="0" w:afterAutospacing="0" w:after="0"/>
        <w:ind w:hanging="360" w:start="720"/>
        <w:rPr>
          <w:u w:val="none"/>
        </w:rPr>
      </w:pPr>
      <w:r>
        <w:rPr>
          <w:b/>
          <w:bCs/>
        </w:rPr>
        <w:t>Every class session.</w:t>
      </w:r>
      <w:r>
        <w:rPr/>
        <w:t xml:space="preserve"> Aim for about one entry per meeting. Write between sessions too.</w:t>
      </w:r>
    </w:p>
    <w:p>
      <w:pPr>
        <w:pStyle w:val="normal1"/>
        <w:numPr>
          <w:ilvl w:val="0"/>
          <w:numId w:val="1"/>
        </w:numPr>
        <w:spacing w:before="0" w:afterAutospacing="0" w:after="0"/>
        <w:ind w:hanging="360" w:start="720"/>
        <w:rPr>
          <w:u w:val="none"/>
        </w:rPr>
      </w:pPr>
      <w:r>
        <w:rPr>
          <w:b/>
          <w:bCs/>
        </w:rPr>
        <w:t>Week 1.</w:t>
      </w:r>
      <w:r>
        <w:rPr/>
        <w:t xml:space="preserve"> The </w:t>
      </w:r>
      <w:r>
        <w:rPr>
          <w:i/>
          <w:iCs/>
        </w:rPr>
        <w:t>why do we write?</w:t>
      </w:r>
      <w:r>
        <w:rPr/>
        <w:t xml:space="preserve"> baseline free-write. Keep it — you write back to it in Week 15.</w:t>
      </w:r>
    </w:p>
    <w:p>
      <w:pPr>
        <w:pStyle w:val="normal1"/>
        <w:numPr>
          <w:ilvl w:val="0"/>
          <w:numId w:val="1"/>
        </w:numPr>
        <w:spacing w:before="0" w:afterAutospacing="0" w:after="0"/>
        <w:ind w:hanging="360" w:start="720"/>
        <w:rPr>
          <w:u w:val="none"/>
        </w:rPr>
      </w:pPr>
      <w:r>
        <w:rPr>
          <w:b/>
          <w:bCs/>
        </w:rPr>
        <w:t>Week 15, Wednesday, December 2, in class.</w:t>
      </w:r>
      <w:r>
        <w:rPr/>
        <w:t xml:space="preserve"> The Look-Back Letter, written during our last session, so your notebook is complete on the day you hand it in.</w:t>
      </w:r>
    </w:p>
    <w:p>
      <w:pPr>
        <w:pStyle w:val="normal1"/>
        <w:numPr>
          <w:ilvl w:val="0"/>
          <w:numId w:val="1"/>
        </w:numPr>
        <w:spacing w:before="0" w:afterAutospacing="0" w:after="0"/>
        <w:ind w:hanging="360" w:start="720"/>
        <w:rPr>
          <w:u w:val="none"/>
        </w:rPr>
      </w:pPr>
      <w:r>
        <w:rPr>
          <w:b/>
          <w:bCs/>
        </w:rPr>
        <w:t>Notebook due Wednesday, December 2 at 11:59 p.m.</w:t>
      </w:r>
      <w:r>
        <w:rPr/>
        <w:t>, with your three entries flagged. The standing 48-hour grace applies here as it does everywhere else.</w:t>
      </w:r>
    </w:p>
    <w:p>
      <w:pPr>
        <w:pStyle w:val="Heading2"/>
        <w:rPr/>
      </w:pPr>
      <w:r>
        <w:rPr/>
      </w:r>
      <w:r>
        <w:br w:type="page"/>
      </w:r>
    </w:p>
    <w:p>
      <w:pPr>
        <w:pStyle w:val="Heading2"/>
        <w:rPr/>
      </w:pPr>
      <w:r>
        <w:rPr/>
        <w:t>8. How Will My Work Be Assessed?</w:t>
      </w:r>
    </w:p>
    <w:p>
      <w:pPr>
        <w:pStyle w:val="normal1"/>
        <w:rPr/>
      </w:pPr>
      <w:r>
        <w:rPr/>
        <w:t xml:space="preserve">Scores land on whole points. Required entries are graded on </w:t>
      </w:r>
      <w:r>
        <w:rPr>
          <w:b/>
          <w:bCs/>
        </w:rPr>
        <w:t>presence only</w:t>
      </w:r>
      <w:r>
        <w:rPr/>
        <w:t xml:space="preserve"> — a required entry that is present but thin is never counted against you twice.</w:t>
      </w:r>
    </w:p>
    <w:tbl>
      <w:tblPr>
        <w:tblStyle w:val="Table1"/>
        <w:tblW w:w="10725" w:type="dxa"/>
        <w:jc w:val="start"/>
        <w:tblInd w:w="-3" w:type="dxa"/>
        <w:tblLayout w:type="fixed"/>
        <w:tblCellMar>
          <w:top w:w="40" w:type="dxa"/>
          <w:start w:w="108" w:type="dxa"/>
          <w:bottom w:w="40" w:type="dxa"/>
          <w:end w:w="108" w:type="dxa"/>
        </w:tblCellMar>
        <w:tblLook w:val="0000"/>
      </w:tblPr>
      <w:tblGrid>
        <w:gridCol w:w="1500"/>
        <w:gridCol w:w="620"/>
        <w:gridCol w:w="2900"/>
        <w:gridCol w:w="2900"/>
        <w:gridCol w:w="2805"/>
      </w:tblGrid>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w:t>
            </w:r>
          </w:p>
        </w:tc>
        <w:tc>
          <w:tcPr>
            <w:tcW w:w="62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Pts</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Full marks</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Partial</w:t>
            </w:r>
          </w:p>
        </w:tc>
        <w:tc>
          <w:tcPr>
            <w:tcW w:w="2805"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None</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Kept practice</w:t>
            </w:r>
          </w:p>
        </w:tc>
        <w:tc>
          <w:tcPr>
            <w:tcW w:w="62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20</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20 or more dated entries, spread across the whole term at roughly one per session. The notebook shows a habit: you wrote when it was going well and when it was not.</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12–19 entries, or the term is uneven — long silences, or a stretch written all at once. Twenty-eight entries dated in November is not a practice.</w:t>
            </w:r>
          </w:p>
        </w:tc>
        <w:tc>
          <w:tcPr>
            <w:tcW w:w="2805"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Fewer than 12 entries, or nothing dated, so no practice can be seen.</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Required entries</w:t>
            </w:r>
          </w:p>
        </w:tc>
        <w:tc>
          <w:tcPr>
            <w:tcW w:w="62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5</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All four present: the Week 1 baseline, currere gushes and brainstorms, the topic map, and source notes.</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One missing.</w:t>
            </w:r>
          </w:p>
        </w:tc>
        <w:tc>
          <w:tcPr>
            <w:tcW w:w="2805"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Two or more missing.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Look-Back Letter</w:t>
            </w:r>
          </w:p>
        </w:tc>
        <w:tc>
          <w:tcPr>
            <w:tcW w:w="62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10</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 xml:space="preserve">Written in our last class, to the writer who answered </w:t>
            </w:r>
            <w:r>
              <w:rPr>
                <w:i/>
                <w:iCs/>
              </w:rPr>
              <w:t>why do we write?</w:t>
            </w:r>
            <w:r>
              <w:rPr/>
              <w:t xml:space="preserve"> on day one.</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Written, but rushed.</w:t>
            </w:r>
          </w:p>
        </w:tc>
        <w:tc>
          <w:tcPr>
            <w:tcW w:w="2805"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Missing.</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b/>
                <w:bCs/>
              </w:rPr>
              <w:t>Thinking on the page</w:t>
            </w:r>
          </w:p>
        </w:tc>
        <w:tc>
          <w:tcPr>
            <w:tcW w:w="62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15</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 xml:space="preserve">From your three flagged entries </w:t>
            </w:r>
            <w:r>
              <w:rPr>
                <w:b/>
                <w:bCs/>
              </w:rPr>
              <w:t>and your reading of a thread</w:t>
            </w:r>
            <w:r>
              <w:rPr/>
              <w:t>: the thinking moves. Entries turn — you arrive somewhere you were not heading. Your reading names something real that changed between the first entry and the last, and points at the evidence.</w:t>
            </w:r>
          </w:p>
        </w:tc>
        <w:tc>
          <w:tcPr>
            <w:tcW w:w="2900"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 xml:space="preserve">Real thinking is visible. You go past the first answer more than once, and the thread reading sees something, even if it stays general. </w:t>
            </w:r>
            <w:r>
              <w:rPr>
                <w:b/>
                <w:bCs/>
              </w:rPr>
              <w:t>Or:</w:t>
            </w:r>
            <w:r>
              <w:rPr/>
              <w:t xml:space="preserve"> honest and present, but mostly arriving where you started.</w:t>
            </w:r>
          </w:p>
        </w:tc>
        <w:tc>
          <w:tcPr>
            <w:tcW w:w="2805" w:type="dxa"/>
            <w:tcBorders>
              <w:top w:val="single" w:sz="4" w:space="0" w:color="000000"/>
              <w:start w:val="single" w:sz="4" w:space="0" w:color="000000"/>
              <w:bottom w:val="single" w:sz="4" w:space="0" w:color="000000"/>
              <w:end w:val="single" w:sz="4" w:space="0" w:color="000000"/>
            </w:tcBorders>
          </w:tcPr>
          <w:p>
            <w:pPr>
              <w:pStyle w:val="normal1"/>
              <w:spacing w:before="0" w:after="0"/>
              <w:rPr/>
            </w:pPr>
            <w:r>
              <w:rPr/>
              <w:t>The entries report rather than think, or perform a reflection they have not done. No thread reading, or one that only lists what the entries were about.</w:t>
            </w:r>
          </w:p>
        </w:tc>
      </w:tr>
    </w:tbl>
    <w:sectPr>
      <w:type w:val="nextPage"/>
      <w:pgSz w:w="12240" w:h="15840"/>
      <w:pgMar w:left="720" w:right="720" w:gutter="0" w:header="0" w:top="720" w:footer="0" w:bottom="72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family w:val="swiss"/>
    <w:pitch w:val="default"/>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sz w:val="22"/>
        <w:szCs w:val="22"/>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200"/>
      <w:jc w:val="star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LibreOffice/26.2.3.2$Linux_X86_64 LibreOffice_project/620$Build-2</Application>
  <AppVersion>15.0000</AppVersion>
  <Pages>4</Pages>
  <Words>1639</Words>
  <Characters>7307</Characters>
  <CharactersWithSpaces>8852</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2026-09-06T19:52:46Z</dcterms:modified>
  <cp:revision>1</cp:revision>
  <dc:subject/>
  <dc:title/>
</cp:coreProperties>
</file>