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One-Pager 1 — Why You Write</w:t>
      </w:r>
    </w:p>
    <w:p w:rsidR="00000000" w:rsidDel="00000000" w:rsidP="00000000" w:rsidRDefault="00000000" w:rsidRPr="00000000" w14:paraId="00000002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TCE 284 FA26 (Edwards)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 points possible</w:t>
      </w:r>
    </w:p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1. What’s This All About?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This is the first of five One-Pagers this term, and the first place you write about your own life as a writer. Romano opens </w:t>
      </w:r>
      <w:r w:rsidDel="00000000" w:rsidR="00000000" w:rsidRPr="00000000">
        <w:rPr>
          <w:i w:val="1"/>
          <w:iCs w:val="1"/>
          <w:rtl w:val="0"/>
        </w:rPr>
        <w:t xml:space="preserve">Write What Matters</w:t>
      </w:r>
      <w:r w:rsidDel="00000000" w:rsidR="00000000" w:rsidRPr="00000000">
        <w:rPr>
          <w:rtl w:val="0"/>
        </w:rPr>
        <w:t xml:space="preserve"> by inviting you to “write about why you write” (ch. 1, p. 4). We widen it across your whole history: why have you </w:t>
      </w:r>
      <w:r w:rsidDel="00000000" w:rsidR="00000000" w:rsidRPr="00000000">
        <w:rPr>
          <w:i w:val="1"/>
          <w:iCs w:val="1"/>
          <w:rtl w:val="0"/>
        </w:rPr>
        <w:t xml:space="preserve">written</w:t>
      </w:r>
      <w:r w:rsidDel="00000000" w:rsidR="00000000" w:rsidRPr="00000000">
        <w:rPr>
          <w:rtl w:val="0"/>
        </w:rPr>
        <w:t xml:space="preserve">, and why do you write </w:t>
      </w:r>
      <w:r w:rsidDel="00000000" w:rsidR="00000000" w:rsidRPr="00000000">
        <w:rPr>
          <w:i w:val="1"/>
          <w:iCs w:val="1"/>
          <w:rtl w:val="0"/>
        </w:rPr>
        <w:t xml:space="preserve">now</w:t>
      </w:r>
      <w:r w:rsidDel="00000000" w:rsidR="00000000" w:rsidRPr="00000000">
        <w:rPr>
          <w:rtl w:val="0"/>
        </w:rPr>
        <w:t xml:space="preserve">? You’ll draft it Romano's way by trusting the gush (see Chapter 2 of Write What Matters for details). Edwards’s “Who’s Cheating Whom?” shows where writing your own life can go.</w:t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2. What Do I Need to Do?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class, in Journaler, start the </w:t>
      </w:r>
      <w:r w:rsidDel="00000000" w:rsidR="00000000" w:rsidRPr="00000000">
        <w:rPr>
          <w:b w:val="1"/>
          <w:bCs w:val="1"/>
          <w:rtl w:val="0"/>
        </w:rPr>
        <w:t xml:space="preserve">5-minute timer</w:t>
      </w:r>
      <w:r w:rsidDel="00000000" w:rsidR="00000000" w:rsidRPr="00000000">
        <w:rPr>
          <w:rtl w:val="0"/>
        </w:rPr>
        <w:t xml:space="preserve"> and gush on the question: why have you written, and why do you write? What has it cost you? What has it given you?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Trust the gush. Gush mode locks editing — don’t stop, don’t fix. If you stall, write that you have stalled and keep going. (Whitman: “write in a gush, the throb, the flood, of the moment.”)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the timer ends, answer the app’s questions about how the writing went.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a One-Pager from that gush — shape it into one page, image and text, on why you write.</w:t>
      </w:r>
    </w:p>
    <w:p w:rsidR="00000000" w:rsidDel="00000000" w:rsidP="00000000" w:rsidRDefault="00000000" w:rsidRPr="00000000" w14:paraId="0000000B">
      <w:pPr>
        <w:pStyle w:val="Heading2"/>
        <w:rPr/>
      </w:pPr>
      <w:r w:rsidDel="00000000" w:rsidR="00000000" w:rsidRPr="00000000">
        <w:rPr>
          <w:rtl w:val="0"/>
        </w:rPr>
        <w:t xml:space="preserve">3. Length &amp; Format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One page, about 500–600 words. Image and text welcome. Be personal and real. Use the whole page.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Export your One-Pager from Journaler as a one-page PDF and submit via Canvas. Your writing session and AI-use log go with it.</w:t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4. Working Collaboratively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highlight w:val="yellow"/>
          <w:rtl w:val="0"/>
        </w:rPr>
        <w:t xml:space="preserve">After the gush, you have the opportunity to reflect — either on your own or with Journaler’s onboard AI reflection partner. Turn AI on or off to access each option.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  <w:t xml:space="preserve">5. How Is My Work Being Assessed?</w:t>
      </w:r>
    </w:p>
    <w:tbl>
      <w:tblPr>
        <w:tblStyle w:val="Table1"/>
        <w:tblW w:w="10725.0" w:type="dxa"/>
        <w:jc w:val="left"/>
        <w:tblInd w:w="-3.000000000000007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55"/>
        <w:gridCol w:w="8970"/>
        <w:tblGridChange w:id="0">
          <w:tblGrid>
            <w:gridCol w:w="1755"/>
            <w:gridCol w:w="8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Why you write (5)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2">
            <w:pPr>
              <w:spacing w:after="0"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The piece genuinely takes up the question: your history as a writer, what draws you to it, what it has cost and given you. Real specifics, not a general answer or a detour.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3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Authenticity 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4">
            <w:pPr>
              <w:spacing w:after="0"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The writing feels genuine and personal, particular to you and your real experience, not generic or a canned answer.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Format 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6">
            <w:pPr>
              <w:spacing w:after="0"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One full page, image and text working together, about 500–600 words, the whole page used.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Calibri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