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 mc:Ignorable="w14 w15 w16se w16cid w16 w16cex w16sdtdh wp14">
  <w:body>
    <w:p w14:paraId="45E2BEE4">
      <w:pPr>
        <w:pStyle w:val="FirstParagraph"/>
      </w:pPr>
      <w:r>
        <w:rPr>
          <w:rFonts w:ascii="Calibri" w:hAnsi="Calibri" w:eastAsia="Calibri" w:cs="Calibri"/>
          <w:b/>
          <w:bCs/>
          <w:sz w:val="22"/>
          <w:szCs w:val="22"/>
        </w:rPr>
        <w:t>One-Pager 4 — Show, Don’t Tell</w:t>
      </w:r>
      <w:r>
        <w:br w:type="textWrapping"/>
      </w:r>
      <w:r>
        <w:rPr>
          <w:rFonts w:ascii="Calibri" w:hAnsi="Calibri" w:eastAsia="Calibri" w:cs="Calibri"/>
          <w:b/>
          <w:bCs/>
          <w:sz w:val="22"/>
          <w:szCs w:val="22"/>
        </w:rPr>
        <w:t>TCE 284 FA26 (Edwards)</w:t>
      </w:r>
      <w:r>
        <w:br w:type="textWrapping"/>
      </w:r>
      <w:r>
        <w:rPr>
          <w:rFonts w:ascii="Calibri" w:hAnsi="Calibri" w:eastAsia="Calibri" w:cs="Calibri"/>
          <w:b/>
          <w:bCs/>
          <w:sz w:val="22"/>
          <w:szCs w:val="22"/>
        </w:rPr>
        <w:t>10 points possible</w:t>
      </w:r>
    </w:p>
    <w:p w14:paraId="10D8CD2D">
      <w:pPr>
        <w:pStyle w:val="Heading2"/>
      </w:pPr>
      <w:r>
        <w:rPr>
          <w:rFonts w:ascii="Calibri" w:hAnsi="Calibri" w:eastAsia="Calibri" w:cs="Calibri"/>
          <w:b/>
          <w:bCs/>
          <w:color w:val="4f81bd"/>
          <w:sz w:val="26"/>
          <w:szCs w:val="26"/>
        </w:rPr>
        <w:t>1. What’s This All About?</w:t>
      </w:r>
    </w:p>
    <w:p w14:paraId="09F073B9">
      <w:pPr>
        <w:pStyle w:val="FirstParagraph"/>
      </w:pPr>
      <w:r>
        <w:rPr>
          <w:rFonts w:ascii="Calibri" w:hAnsi="Calibri" w:eastAsia="Calibri" w:cs="Calibri"/>
          <w:sz w:val="22"/>
          <w:szCs w:val="22"/>
        </w:rPr>
        <w:t xml:space="preserve">In Chapter 13, “Make Me Taste It,” a server offers Tom Romano “melon and ham.” The description is flat and generic. Romano imagines what she could have said: melon “raised here in the valley,” ham “shaved thin as tissue paper.” His charge is to make readers </w:t>
      </w:r>
      <w:r>
        <w:rPr>
          <w:rFonts w:ascii="Calibri" w:hAnsi="Calibri" w:eastAsia="Calibri" w:cs="Calibri"/>
          <w:i/>
          <w:iCs/>
          <w:sz w:val="22"/>
          <w:szCs w:val="22"/>
        </w:rPr>
        <w:t>see and feel and experience</w:t>
      </w:r>
      <w:r>
        <w:rPr>
          <w:rFonts w:ascii="Calibri" w:hAnsi="Calibri" w:eastAsia="Calibri" w:cs="Calibri"/>
          <w:sz w:val="22"/>
          <w:szCs w:val="22"/>
        </w:rPr>
        <w:t xml:space="preserve"> through description. “Melon and ham” is what a machine hands you: generic, average text. Making us </w:t>
      </w:r>
      <w:r>
        <w:rPr>
          <w:rFonts w:ascii="Calibri" w:hAnsi="Calibri" w:eastAsia="Calibri" w:cs="Calibri"/>
          <w:i/>
          <w:iCs/>
          <w:sz w:val="22"/>
          <w:szCs w:val="22"/>
        </w:rPr>
        <w:t>taste</w:t>
      </w:r>
      <w:r>
        <w:rPr>
          <w:rFonts w:ascii="Calibri" w:hAnsi="Calibri" w:eastAsia="Calibri" w:cs="Calibri"/>
          <w:sz w:val="22"/>
          <w:szCs w:val="22"/>
        </w:rPr>
        <w:t xml:space="preserve"> it is the thing </w:t>
      </w:r>
      <w:r>
        <w:rPr>
          <w:rFonts w:ascii="Calibri" w:hAnsi="Calibri" w:eastAsia="Calibri" w:cs="Calibri"/>
          <w:i/>
          <w:iCs/>
          <w:sz w:val="22"/>
          <w:szCs w:val="22"/>
        </w:rPr>
        <w:t>only a human author can truly do.</w:t>
      </w:r>
    </w:p>
    <w:p w14:paraId="631FA6F3">
      <w:pPr>
        <w:pStyle w:val="Heading2"/>
      </w:pPr>
      <w:r>
        <w:rPr>
          <w:rFonts w:ascii="Calibri" w:hAnsi="Calibri" w:eastAsia="Calibri" w:cs="Calibri"/>
          <w:b/>
          <w:bCs/>
          <w:color w:val="4f81bd"/>
          <w:sz w:val="26"/>
          <w:szCs w:val="26"/>
        </w:rPr>
        <w:t>2. What Do I Need to Do?</w:t>
      </w:r>
    </w:p>
    <w:p w14:paraId="42BD0250">
      <w:pPr>
        <w:numPr>
          <w:ilvl w:val="0"/>
          <w:numId w:val="1001"/>
        </w:numPr>
        <w:ind w:left="720" w:hanging="360"/>
      </w:pPr>
      <w:r>
        <w:rPr>
          <w:rFonts w:ascii="Calibri" w:hAnsi="Calibri" w:eastAsia="Calibri" w:cs="Calibri"/>
          <w:sz w:val="22"/>
          <w:szCs w:val="22"/>
        </w:rPr>
        <w:t>In class, in Journaler, start the</w:t>
      </w:r>
      <w:r>
        <w:rPr>
          <w:rFonts w:ascii="Calibri" w:hAnsi="Calibri" w:eastAsia="Calibri" w:cs="Calibri"/>
          <w:sz w:val="22"/>
          <w:szCs w:val="22"/>
        </w:rPr>
        <w:t xml:space="preserve"> </w:t>
      </w:r>
      <w:r>
        <w:rPr>
          <w:rFonts w:ascii="Calibri" w:hAnsi="Calibri" w:eastAsia="Calibri" w:cs="Calibri"/>
          <w:b/>
          <w:bCs/>
          <w:sz w:val="22"/>
          <w:szCs w:val="22"/>
        </w:rPr>
        <w:t>5-minute timer</w:t>
      </w:r>
      <w:r>
        <w:rPr>
          <w:rFonts w:ascii="Calibri" w:hAnsi="Calibri" w:eastAsia="Calibri" w:cs="Calibri"/>
          <w:sz w:val="22"/>
          <w:szCs w:val="22"/>
        </w:rPr>
        <w:t>. Pick one small, ordinary moment from your life.</w:t>
      </w:r>
    </w:p>
    <w:p w14:paraId="539E3BE3">
      <w:pPr>
        <w:numPr>
          <w:ilvl w:val="0"/>
          <w:numId w:val="1001"/>
        </w:numPr>
        <w:ind w:left="720" w:hanging="360"/>
      </w:pPr>
      <w:r>
        <w:rPr>
          <w:rFonts w:ascii="Calibri" w:hAnsi="Calibri" w:eastAsia="Calibri" w:cs="Calibri"/>
          <w:b/>
          <w:bCs/>
          <w:sz w:val="22"/>
          <w:szCs w:val="22"/>
        </w:rPr>
        <w:t>Show it through the senses</w:t>
      </w:r>
      <w:r>
        <w:rPr>
          <w:rFonts w:ascii="Calibri" w:hAnsi="Calibri" w:eastAsia="Calibri" w:cs="Calibri"/>
          <w:sz w:val="22"/>
          <w:szCs w:val="22"/>
        </w:rPr>
        <w:t xml:space="preserve"> </w:t>
      </w:r>
      <w:r>
        <w:rPr>
          <w:rFonts w:ascii="Calibri" w:hAnsi="Calibri" w:eastAsia="Calibri" w:cs="Calibri"/>
          <w:sz w:val="22"/>
          <w:szCs w:val="22"/>
        </w:rPr>
        <w:t>— the light, the sounds, the smells, what your hands felt, what was on your tongue. Put us there. Do</w:t>
      </w:r>
      <w:r>
        <w:rPr>
          <w:rFonts w:ascii="Calibri" w:hAnsi="Calibri" w:eastAsia="Calibri" w:cs="Calibri"/>
          <w:sz w:val="22"/>
          <w:szCs w:val="22"/>
        </w:rPr>
        <w:t xml:space="preserve"> </w:t>
      </w:r>
      <w:r>
        <w:rPr>
          <w:rFonts w:ascii="Calibri" w:hAnsi="Calibri" w:eastAsia="Calibri" w:cs="Calibri"/>
          <w:i/>
          <w:iCs/>
          <w:sz w:val="22"/>
          <w:szCs w:val="22"/>
        </w:rPr>
        <w:t>not</w:t>
      </w:r>
      <w:r>
        <w:rPr>
          <w:rFonts w:ascii="Calibri" w:hAnsi="Calibri" w:eastAsia="Calibri" w:cs="Calibri"/>
          <w:sz w:val="22"/>
          <w:szCs w:val="22"/>
        </w:rPr>
        <w:t xml:space="preserve"> </w:t>
      </w:r>
      <w:r>
        <w:rPr>
          <w:rFonts w:ascii="Calibri" w:hAnsi="Calibri" w:eastAsia="Calibri" w:cs="Calibri"/>
          <w:sz w:val="22"/>
          <w:szCs w:val="22"/>
        </w:rPr>
        <w:t>tell us it was nice or sad; make us feel it in the details.</w:t>
      </w:r>
    </w:p>
    <w:p w14:paraId="7A5B17D5">
      <w:pPr>
        <w:numPr>
          <w:ilvl w:val="0"/>
          <w:numId w:val="1001"/>
        </w:numPr>
        <w:ind w:left="720" w:hanging="360"/>
      </w:pPr>
      <w:r>
        <w:rPr>
          <w:rFonts w:ascii="Calibri" w:hAnsi="Calibri" w:eastAsia="Calibri" w:cs="Calibri"/>
          <w:b/>
          <w:bCs/>
          <w:sz w:val="22"/>
          <w:szCs w:val="22"/>
        </w:rPr>
        <w:t>No dialogue.</w:t>
      </w:r>
      <w:r>
        <w:rPr>
          <w:rFonts w:ascii="Calibri" w:hAnsi="Calibri" w:eastAsia="Calibri" w:cs="Calibri"/>
          <w:sz w:val="22"/>
          <w:szCs w:val="22"/>
        </w:rPr>
        <w:t xml:space="preserve"> </w:t>
      </w:r>
      <w:r>
        <w:rPr>
          <w:rFonts w:ascii="Calibri" w:hAnsi="Calibri" w:eastAsia="Calibri" w:cs="Calibri"/>
          <w:sz w:val="22"/>
          <w:szCs w:val="22"/>
        </w:rPr>
        <w:t>If someone is there, we know them by what they do, not what they say. Carry the whole moment on the senses.</w:t>
      </w:r>
    </w:p>
    <w:p w14:paraId="509FC0F2">
      <w:pPr>
        <w:numPr>
          <w:ilvl w:val="0"/>
          <w:numId w:val="1001"/>
        </w:numPr>
        <w:ind w:left="720" w:hanging="360"/>
      </w:pPr>
      <w:r>
        <w:rPr>
          <w:rFonts w:ascii="Calibri" w:hAnsi="Calibri" w:eastAsia="Calibri" w:cs="Calibri"/>
          <w:sz w:val="22"/>
          <w:szCs w:val="22"/>
        </w:rPr>
        <w:t>Build a One-Pager: that moment, rendered through the senses, on one page. Cut every word that tells instead of shows.</w:t>
      </w:r>
    </w:p>
    <w:p w14:paraId="21307017">
      <w:pPr>
        <w:pStyle w:val="Heading2"/>
      </w:pPr>
      <w:r>
        <w:rPr>
          <w:rFonts w:ascii="Calibri" w:hAnsi="Calibri" w:eastAsia="Calibri" w:cs="Calibri"/>
          <w:b/>
          <w:bCs/>
          <w:color w:val="4f81bd"/>
          <w:sz w:val="26"/>
          <w:szCs w:val="26"/>
        </w:rPr>
        <w:t>3. Length &amp; Format</w:t>
      </w:r>
    </w:p>
    <w:p w14:paraId="0BC7E2F4">
      <w:pPr>
        <w:numPr>
          <w:ilvl w:val="0"/>
          <w:numId w:val="1002"/>
        </w:numPr>
        <w:ind w:left="720" w:hanging="360"/>
      </w:pPr>
      <w:r>
        <w:rPr>
          <w:rFonts w:ascii="Calibri" w:hAnsi="Calibri" w:eastAsia="Calibri" w:cs="Calibri"/>
          <w:sz w:val="22"/>
          <w:szCs w:val="22"/>
        </w:rPr>
        <w:t>One page, concrete and sensory throughout. No summary words (</w:t>
      </w:r>
      <w:r>
        <w:rPr>
          <w:rFonts w:ascii="Calibri" w:hAnsi="Calibri" w:eastAsia="Calibri" w:cs="Calibri"/>
          <w:sz w:val="22"/>
          <w:szCs w:val="22"/>
        </w:rPr>
        <w:t>“it was fun”</w:t>
      </w:r>
      <w:r>
        <w:rPr>
          <w:rFonts w:ascii="Calibri" w:hAnsi="Calibri" w:eastAsia="Calibri" w:cs="Calibri"/>
          <w:sz w:val="22"/>
          <w:szCs w:val="22"/>
        </w:rPr>
        <w:t>). Image welcome.</w:t>
      </w:r>
    </w:p>
    <w:p w14:paraId="4C38E5CD">
      <w:pPr>
        <w:numPr>
          <w:ilvl w:val="0"/>
          <w:numId w:val="1002"/>
        </w:numPr>
        <w:ind w:left="720" w:hanging="360"/>
      </w:pPr>
      <w:r>
        <w:rPr>
          <w:rFonts w:ascii="Calibri" w:hAnsi="Calibri" w:eastAsia="Calibri" w:cs="Calibri"/>
          <w:sz w:val="22"/>
          <w:szCs w:val="22"/>
        </w:rPr>
        <w:t>Export your One-Pager from Journaler as a one-page PDF and submit via Canvas.</w:t>
      </w:r>
    </w:p>
    <w:p w14:paraId="074F2581">
      <w:pPr>
        <w:pStyle w:val="Heading2"/>
      </w:pPr>
      <w:r>
        <w:rPr>
          <w:rFonts w:ascii="Calibri" w:hAnsi="Calibri" w:eastAsia="Calibri" w:cs="Calibri"/>
          <w:b/>
          <w:bCs/>
          <w:color w:val="4f81bd"/>
          <w:sz w:val="26"/>
          <w:szCs w:val="26"/>
        </w:rPr>
        <w:t>4. Working Collaboratively</w:t>
      </w:r>
    </w:p>
    <w:p w14:paraId="32631FF1">
      <w:pPr>
        <w:pStyle w:val="FirstParagraph"/>
      </w:pPr>
      <w:r>
        <w:rPr>
          <w:rFonts w:ascii="Calibri" w:hAnsi="Calibri" w:eastAsia="Calibri" w:cs="Calibri"/>
          <w:b/>
          <w:bCs/>
          <w:sz w:val="22"/>
          <w:szCs w:val="22"/>
          <w:highlight w:val="yellow"/>
        </w:rPr>
        <w:t xml:space="preserve">After the gush, you have the opportunity to reflect — either on your own or with Journaler’s onboard AI reflection partner. Turn AI on or off to access each option.</w:t>
      </w:r>
      <w:r>
        <w:rPr>
          <w:rFonts w:ascii="Calibri" w:hAnsi="Calibri" w:eastAsia="Calibri" w:cs="Calibri"/>
          <w:sz w:val="22"/>
          <w:szCs w:val="22"/>
        </w:rPr>
        <w:t xml:space="preserve"/>
      </w:r>
    </w:p>
    <w:p w14:paraId="2EE48237">
      <w:pPr>
        <w:pStyle w:val="Heading2"/>
      </w:pPr>
      <w:r>
        <w:rPr>
          <w:rFonts w:ascii="Calibri" w:hAnsi="Calibri" w:eastAsia="Calibri" w:cs="Calibri"/>
          <w:b/>
          <w:bCs/>
          <w:color w:val="4f81bd"/>
          <w:sz w:val="26"/>
          <w:szCs w:val="26"/>
        </w:rPr>
        <w:t>5. How Is My Work Being Assessed?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firstColumn="1" w:noVBand="1"/>
      </w:tblPr>
      <w:tblGrid>
        <w:gridCol w:w="2325"/>
        <w:gridCol w:w="8475"/>
      </w:tblGrid>
      <w:tr>
        <w:tc>
          <w:tcPr>
            <w:tcW w:w="2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108" w:type="dxa"/>
              <w:bottom w:w="40" w:type="dxa"/>
              <w:right w:w="108" w:type="dxa"/>
            </w:tcMar>
          </w:tcPr>
          <w:p w14:paraId="2D435863">
            <w:pPr>
              <w:spacing w:after="0" w:line="276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A moment, through the senses (5)</w:t>
            </w:r>
          </w:p>
        </w:tc>
        <w:tc>
          <w:tcPr>
            <w:tcW w:w="84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108" w:type="dxa"/>
              <w:bottom w:w="40" w:type="dxa"/>
              <w:right w:w="108" w:type="dxa"/>
            </w:tcMar>
          </w:tcPr>
          <w:p w14:paraId="4F7D1A99">
            <w:pPr>
              <w:spacing w:after="0" w:line="276" w:lineRule="auto"/>
            </w:pPr>
            <w:r>
              <w:rPr>
                <w:rFonts w:ascii="Calibri" w:hAnsi="Calibri" w:cs="Calibri"/>
                <w:sz w:val="22"/>
                <w:szCs w:val="22"/>
              </w:rPr>
              <w:t>One real moment rendered so we see, hear, smell, and feel it. Shows, never tells (“it was nice”). No dialogue — carried entirely on the senses.</w:t>
            </w:r>
          </w:p>
        </w:tc>
      </w:tr>
      <w:tr>
        <w:tc>
          <w:tcPr>
            <w:tcW w:w="2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108" w:type="dxa"/>
              <w:bottom w:w="40" w:type="dxa"/>
              <w:right w:w="108" w:type="dxa"/>
            </w:tcMar>
          </w:tcPr>
          <w:p w14:paraId="1635A7E7">
            <w:pPr>
              <w:spacing w:after="0" w:line="276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Authenticity (3)</w:t>
            </w:r>
          </w:p>
        </w:tc>
        <w:tc>
          <w:tcPr>
            <w:tcW w:w="84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108" w:type="dxa"/>
              <w:bottom w:w="40" w:type="dxa"/>
              <w:right w:w="108" w:type="dxa"/>
            </w:tcMar>
          </w:tcPr>
          <w:p w14:paraId="46E1E43E">
            <w:pPr>
              <w:spacing w:after="0" w:line="276" w:lineRule="auto"/>
            </w:pPr>
            <w:r>
              <w:rPr>
                <w:rFonts w:ascii="Calibri" w:hAnsi="Calibri" w:cs="Calibri"/>
                <w:sz w:val="22"/>
                <w:szCs w:val="22"/>
              </w:rPr>
              <w:t>A real moment of yours, particular and un-generic — the opposite of “melon and ham.”</w:t>
            </w:r>
          </w:p>
        </w:tc>
      </w:tr>
      <w:tr>
        <w:tc>
          <w:tcPr>
            <w:tcW w:w="2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108" w:type="dxa"/>
              <w:bottom w:w="40" w:type="dxa"/>
              <w:right w:w="108" w:type="dxa"/>
            </w:tcMar>
          </w:tcPr>
          <w:p w14:paraId="24A49DE8">
            <w:pPr>
              <w:spacing w:after="0" w:line="276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Format (2)</w:t>
            </w:r>
          </w:p>
        </w:tc>
        <w:tc>
          <w:tcPr>
            <w:tcW w:w="84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108" w:type="dxa"/>
              <w:bottom w:w="40" w:type="dxa"/>
              <w:right w:w="108" w:type="dxa"/>
            </w:tcMar>
          </w:tcPr>
          <w:p w14:paraId="109187E5">
            <w:pPr>
              <w:spacing w:after="0" w:line="276" w:lineRule="auto"/>
            </w:pPr>
            <w:r>
              <w:rPr>
                <w:rFonts w:ascii="Calibri" w:hAnsi="Calibri" w:cs="Calibri"/>
                <w:sz w:val="22"/>
                <w:szCs w:val="22"/>
              </w:rPr>
              <w:t>One page, sensory throughout, no summary words. Image welcome.</w:t>
            </w:r>
          </w:p>
        </w:tc>
      </w:tr>
    </w:tbl>
    <w:p w14:paraId="10C5AD49"/>
    <w:sectPr>
      <w:pgSz w:w="12240" w:h="15840"/>
      <w:pgMar w:top="720" w:right="720" w:bottom="720" w:left="720" w:header="720" w:footer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Calibri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="http://schemas.microsoft.com/office/tasks/2019/documenttasks" xmlns:a="http://schemas.openxmlformats.org/drawingml/2006/main" xmlns:c="http://schemas.openxmlformats.org/drawingml/2006/chart" xmlns:cr="http://schemas.microsoft.com/office/comments/2020/reactions" xmlns:dgm="http://schemas.openxmlformats.org/drawingml/2006/diagram" xmlns:lc="http://schemas.openxmlformats.org/drawingml/2006/lockedCanvas" xmlns:m="http://schemas.openxmlformats.org/officeDocument/2006/math" xmlns:mc="http://schemas.openxmlformats.org/markup-compatibility/2006" xmlns:o="urn:schemas-microsoft-com:office:office" xmlns:pic="http://schemas.openxmlformats.org/drawingml/2006/pictur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ne="http://schemas.microsoft.com/office/word/2006/wordml" xmlns:wp="http://schemas.openxmlformats.org/drawingml/2006/wordprocessingDrawing" xmlns:wpg="http://schemas.microsoft.com/office/word/2010/wordprocessingGroup" xmlns:wps="http://schemas.microsoft.com/office/word/2010/wordprocessingShape">
  <w:abstractNum w:abstractNumId="1"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 w:hint="default"/>
        <w:sz w:val="22"/>
        <w:szCs w:val="22"/>
      </w:rPr>
    </w:lvl>
    <w:lvl w:ilvl="1">
      <w:start w:val="1"/>
      <w:numFmt w:val="bullet"/>
      <w:lvlText w:val="○"/>
      <w:lvlJc w:val="left"/>
      <w:pPr>
        <w:ind w:hanging="360" w:left="1440"/>
      </w:pPr>
      <w:rPr>
        <w:u w:val="none"/>
      </w:rPr>
    </w:lvl>
    <w:lvl w:ilvl="2">
      <w:start w:val="1"/>
      <w:numFmt w:val="bullet"/>
      <w:lvlText w:val="■"/>
      <w:lvlJc w:val="left"/>
      <w:pPr>
        <w:ind w:hanging="360" w:left="2160"/>
      </w:pPr>
      <w:rPr>
        <w:u w:val="none"/>
      </w:rPr>
    </w:lvl>
    <w:lvl w:ilvl="3">
      <w:start w:val="1"/>
      <w:numFmt w:val="bullet"/>
      <w:lvlText w:val="●"/>
      <w:lvlJc w:val="left"/>
      <w:pPr>
        <w:ind w:hanging="360" w:left="2880"/>
      </w:pPr>
      <w:rPr>
        <w:u w:val="none"/>
      </w:rPr>
    </w:lvl>
    <w:lvl w:ilvl="4">
      <w:start w:val="1"/>
      <w:numFmt w:val="bullet"/>
      <w:lvlText w:val="○"/>
      <w:lvlJc w:val="left"/>
      <w:pPr>
        <w:ind w:hanging="360" w:left="3600"/>
      </w:pPr>
      <w:rPr>
        <w:u w:val="none"/>
      </w:rPr>
    </w:lvl>
    <w:lvl w:ilvl="5">
      <w:start w:val="1"/>
      <w:numFmt w:val="bullet"/>
      <w:lvlText w:val="■"/>
      <w:lvlJc w:val="left"/>
      <w:pPr>
        <w:ind w:hanging="360" w:left="4320"/>
      </w:pPr>
      <w:rPr>
        <w:u w:val="none"/>
      </w:rPr>
    </w:lvl>
    <w:lvl w:ilvl="6">
      <w:start w:val="1"/>
      <w:numFmt w:val="bullet"/>
      <w:lvlText w:val="●"/>
      <w:lvlJc w:val="left"/>
      <w:pPr>
        <w:ind w:hanging="360" w:left="5040"/>
      </w:pPr>
      <w:rPr>
        <w:u w:val="none"/>
      </w:rPr>
    </w:lvl>
    <w:lvl w:ilvl="7">
      <w:start w:val="1"/>
      <w:numFmt w:val="bullet"/>
      <w:lvlText w:val="○"/>
      <w:lvlJc w:val="left"/>
      <w:pPr>
        <w:ind w:hanging="360" w:left="5760"/>
      </w:pPr>
      <w:rPr>
        <w:u w:val="none"/>
      </w:rPr>
    </w:lvl>
    <w:lvl w:ilvl="8">
      <w:start w:val="1"/>
      <w:numFmt w:val="bullet"/>
      <w:lvlText w:val="■"/>
      <w:lvlJc w:val="left"/>
      <w:pPr>
        <w:ind w:hanging="360" w:left="6480"/>
      </w:pPr>
      <w:rPr>
        <w:u w:val="none"/>
      </w:rPr>
    </w:lvl>
  </w:abstractNum>
  <w:abstractNum w:abstractNumId="2"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 w:hint="default"/>
        <w:sz w:val="22"/>
        <w:szCs w:val="22"/>
      </w:rPr>
    </w:lvl>
    <w:lvl w:ilvl="1">
      <w:start w:val="0"/>
      <w:numFmt w:val="bullet"/>
      <w:lvlText w:val="o"/>
      <w:lvlJc w:val="left"/>
      <w:pPr>
        <w:ind w:hanging="360" w:left="144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hanging="360" w:left="21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hanging="360" w:left="28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hanging="360" w:left="360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hanging="360" w:left="432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hanging="360" w:left="504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hanging="360" w:left="57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hanging="360" w:left="6480"/>
      </w:pPr>
      <w:rPr>
        <w:rFonts w:ascii="Noto Sans Symbols" w:cs="Noto Sans Symbols" w:eastAsia="Noto Sans Symbols" w:hAnsi="Noto Sans Symbols"/>
      </w:rPr>
    </w:lvl>
  </w:abstractNum>
  <w:abstractNum w:abstractNumId="990">
    <w:nsid w:val="0000A990"/>
    <w:multiLevelType w:val="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 w:hint="default"/>
        <w:sz w:val="22"/>
        <w:szCs w:val="22"/>
      </w:r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 w:hint="default"/>
        <w:sz w:val="22"/>
        <w:szCs w:val="22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1"/>
  </w:num>
  <w:num w:numId="2">
    <w:abstractNumId w:val="2"/>
  </w: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TrueTypeFonts w:val="1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</w:compat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="http://schemas.microsoft.com/office/tasks/2019/documenttasks" xmlns:a="http://schemas.openxmlformats.org/drawingml/2006/main" xmlns:c="http://schemas.openxmlformats.org/drawingml/2006/chart" xmlns:cr="http://schemas.microsoft.com/office/comments/2020/reactions" xmlns:dgm="http://schemas.openxmlformats.org/drawingml/2006/diagram" xmlns:lc="http://schemas.openxmlformats.org/drawingml/2006/lockedCanvas" xmlns:m="http://schemas.openxmlformats.org/officeDocument/2006/math" xmlns:mc="http://schemas.openxmlformats.org/markup-compatibility/2006" xmlns:o="urn:schemas-microsoft-com:office:office" xmlns:pic="http://schemas.openxmlformats.org/drawingml/2006/pictur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ne="http://schemas.microsoft.com/office/word/2006/wordml" xmlns:wp="http://schemas.openxmlformats.org/drawingml/2006/wordprocessingDrawing" xmlns:wpg="http://schemas.microsoft.com/office/word/2010/wordprocessingGroup" xmlns:wps="http://schemas.microsoft.com/office/word/2010/wordprocessingShape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default="1" w:styleId="TableNormal" w:type="table">
    <w:name w:val="TableNormal"/>
    <w:tblPr>
      <w:tblCellMar>
        <w:top w:type="dxa" w:w="100.0"/>
        <w:left w:type="dxa" w:w="100.0"/>
        <w:bottom w:type="dxa" w:w="100.0"/>
        <w:right w:type="dxa" w:w="100.0"/>
      </w:tblCellMar>
    </w:tblPr>
  </w:style>
  <w:style w:default="1" w:styleId="Normal" w:type="paragraph">
    <w:name w:val="normal"/>
  </w:style>
  <w:style w:styleId="Heading1" w:type="paragraph">
    <w:name w:val="heading 1"/>
    <w:basedOn w:val="Normal"/>
    <w:next w:val="Normal"/>
    <w:pPr>
      <w:keepNext w:val="1"/>
      <w:keepLines w:val="1"/>
      <w:spacing w:after="0" w:before="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styleId="Heading2" w:type="paragraph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styleId="Heading3" w:type="paragraph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styleId="Heading4" w:type="paragraph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styleId="Heading5" w:type="paragraph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styleId="Heading6" w:type="paragraph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styleId="Title" w:type="paragraph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styleId="Subtitle" w:type="paragraph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styleId="Table1" w:type="table">
    <w:basedOn w:val="TableNormal"/>
    <w:pPr>
      <w:spacing w:after="0" w:line="240" w:lineRule="auto"/>
    </w:pPr>
    <w:tblPr>
      <w:tblStyleRowBandSize w:val="1"/>
      <w:tblStyleColBandSize w:val="1"/>
      <w:tblCellMar>
        <w:top w:type="dxa" w:w="0.0"/>
        <w:left w:type="dxa" w:w="108.0"/>
        <w:bottom w:type="dxa" w:w="0.0"/>
        <w:right w:type="dxa" w:w="108.0"/>
      </w:tblCellMar>
    </w:tbl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2026-07-21T22:35:47Z</dcterms:created>
  <dcterms:modified xsi:type="dcterms:W3CDTF">2026-07-21T22:47:13.293Z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