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One-Pager 1 — Why You Write</w:t>
      </w:r>
    </w:p>
    <w:p w:rsidR="00000000" w:rsidDel="00000000" w:rsidP="00000000" w:rsidRDefault="00000000" w:rsidRPr="00000000" w14:paraId="00000002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TCE 284 FA26 (Edwards)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points possible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1. What’s This All About?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This is the first of five One-Pagers this term, and the first place you write about your own life as a writer. Romano opens </w:t>
      </w:r>
      <w:r w:rsidDel="00000000" w:rsidR="00000000" w:rsidRPr="00000000">
        <w:rPr>
          <w:i w:val="1"/>
          <w:iCs w:val="1"/>
          <w:rtl w:val="0"/>
        </w:rPr>
        <w:t xml:space="preserve">Write What Matters</w:t>
      </w:r>
      <w:r w:rsidDel="00000000" w:rsidR="00000000" w:rsidRPr="00000000">
        <w:rPr>
          <w:rtl w:val="0"/>
        </w:rPr>
        <w:t xml:space="preserve"> by inviting you to “write about why you write” (ch. 1, p. 4). We widen it across your whole history: why have you </w:t>
      </w:r>
      <w:r w:rsidDel="00000000" w:rsidR="00000000" w:rsidRPr="00000000">
        <w:rPr>
          <w:i w:val="1"/>
          <w:iCs w:val="1"/>
          <w:rtl w:val="0"/>
        </w:rPr>
        <w:t xml:space="preserve">written</w:t>
      </w:r>
      <w:r w:rsidDel="00000000" w:rsidR="00000000" w:rsidRPr="00000000">
        <w:rPr>
          <w:rtl w:val="0"/>
        </w:rPr>
        <w:t xml:space="preserve">, and why do you write </w:t>
      </w:r>
      <w:r w:rsidDel="00000000" w:rsidR="00000000" w:rsidRPr="00000000">
        <w:rPr>
          <w:i w:val="1"/>
          <w:iCs w:val="1"/>
          <w:rtl w:val="0"/>
        </w:rPr>
        <w:t xml:space="preserve">now</w:t>
      </w:r>
      <w:r w:rsidDel="00000000" w:rsidR="00000000" w:rsidRPr="00000000">
        <w:rPr>
          <w:rtl w:val="0"/>
        </w:rPr>
        <w:t xml:space="preserve">? You’ll draft it Romano's way by trusting the gush (see Chapter 2 of Write What Matters for details). Edwards’s “Who’s Cheating Whom?” shows where writing your own life can go.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2. What Do I Need to Do?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class, in Journaler, start the </w:t>
      </w:r>
      <w:r w:rsidDel="00000000" w:rsidR="00000000" w:rsidRPr="00000000">
        <w:rPr>
          <w:b w:val="1"/>
          <w:bCs w:val="1"/>
          <w:rtl w:val="0"/>
        </w:rPr>
        <w:t xml:space="preserve">5-minute timer</w:t>
      </w:r>
      <w:r w:rsidDel="00000000" w:rsidR="00000000" w:rsidRPr="00000000">
        <w:rPr>
          <w:rtl w:val="0"/>
        </w:rPr>
        <w:t xml:space="preserve"> and gush on the question: why have you written, and why do you write? What has it cost you? What has it given you?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Trust the gush. Gush mode locks editing — don’t stop, don’t fix. If you stall, write that you have stalled and keep going. (Whitman: “write in a gush, the throb, the flood, of the moment.”)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the timer ends, answer the app’s questions about how the writing went.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a One-Pager from that gush — shape it into one page, image and text, on why you write.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3. Length &amp; Format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One page, about 500–600 words. Image and text welcome. Be personal and real. Use the whole page.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Export your One-Pager from Journaler as a one-page PDF and submit via Canvas. Your writing session and AI-use log go with it.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4. Working Collaboratively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highlight w:val="yellow"/>
          <w:rtl w:val="0"/>
        </w:rPr>
        <w:t xml:space="preserve">This One-Pager is your own writing, drafted live in Journaler.</w:t>
      </w:r>
      <w:r w:rsidDel="00000000" w:rsidR="00000000" w:rsidRPr="00000000">
        <w:rPr>
          <w:rtl w:val="0"/>
        </w:rPr>
        <w:t xml:space="preserve"> You’ll write alongside your classmates, but the words are yours. After the buzzer, Journaler’s reflection partner asks how the writing went — about the experience, not the content. It never supplies your words. The thinking here has to be yours, and that is the whole point.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5. How Is My Work Being Assessed?</w:t>
      </w:r>
    </w:p>
    <w:tbl>
      <w:tblPr>
        <w:tblStyle w:val="Table1"/>
        <w:tblW w:w="10725.0" w:type="dxa"/>
        <w:jc w:val="left"/>
        <w:tblInd w:w="-3.000000000000007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8970"/>
        <w:tblGridChange w:id="0">
          <w:tblGrid>
            <w:gridCol w:w="1755"/>
            <w:gridCol w:w="8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Why you write (5)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piece genuinely takes up the question: your history as a writer, what draws you to it, what it has cost and given you. Real specifics, not a general answer or a detour.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Authenticity 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writing feels genuine and personal, particular to you and your real experience, not generic or a canned answer.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Format 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One full page, image and text working together, about 500–600 words, the whole page used.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