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5E2BEE4">
      <w:pPr>
        <w:pStyle w:val="FirstParagraph"/>
      </w:pPr>
      <w:r>
        <w:rPr>
          <w:rFonts w:ascii="Calibri" w:hAnsi="Calibri" w:eastAsia="Calibri" w:cs="Calibri"/>
          <w:b/>
          <w:bCs/>
          <w:sz w:val="22"/>
          <w:szCs w:val="22"/>
        </w:rPr>
        <w:t>One-Pager 3 — Show, Don’t Tell</w:t>
      </w:r>
      <w:r>
        <w:br w:type="textWrapping"/>
      </w:r>
      <w:r>
        <w:rPr>
          <w:rFonts w:ascii="Calibri" w:hAnsi="Calibri" w:eastAsia="Calibri" w:cs="Calibri"/>
          <w:b/>
          <w:bCs/>
          <w:sz w:val="22"/>
          <w:szCs w:val="22"/>
        </w:rPr>
        <w:t>TCE 284 FA26 (Edwards)</w:t>
      </w:r>
      <w:r>
        <w:br w:type="textWrapping"/>
      </w:r>
      <w:r>
        <w:rPr>
          <w:rFonts w:ascii="Calibri" w:hAnsi="Calibri" w:eastAsia="Calibri" w:cs="Calibri"/>
          <w:b/>
          <w:bCs/>
          <w:sz w:val="22"/>
          <w:szCs w:val="22"/>
        </w:rPr>
        <w:t>10 points possible</w:t>
      </w:r>
    </w:p>
    <w:p w14:paraId="10D8CD2D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1. What’s This All About?</w:t>
      </w:r>
    </w:p>
    <w:p w14:paraId="09F073B9">
      <w:pPr>
        <w:pStyle w:val="FirstParagraph"/>
      </w:pPr>
      <w:r>
        <w:rPr>
          <w:rFonts w:ascii="Calibri" w:hAnsi="Calibri" w:eastAsia="Calibri" w:cs="Calibri"/>
          <w:sz w:val="22"/>
          <w:szCs w:val="22"/>
        </w:rPr>
        <w:t xml:space="preserve">In Chapter 13, “Make Me Taste It,” a server offers Tom Romano “melon and ham.” The description is flat and generic. Romano imagines what she could have said: melon “raised here in the valley,” ham “shaved thin as tissue paper.” His charge is to make readers </w:t>
      </w:r>
      <w:r>
        <w:rPr>
          <w:rFonts w:ascii="Calibri" w:hAnsi="Calibri" w:eastAsia="Calibri" w:cs="Calibri"/>
          <w:i/>
          <w:iCs/>
          <w:sz w:val="22"/>
          <w:szCs w:val="22"/>
        </w:rPr>
        <w:t>see and feel and experience</w:t>
      </w:r>
      <w:r>
        <w:rPr>
          <w:rFonts w:ascii="Calibri" w:hAnsi="Calibri" w:eastAsia="Calibri" w:cs="Calibri"/>
          <w:sz w:val="22"/>
          <w:szCs w:val="22"/>
        </w:rPr>
        <w:t xml:space="preserve"> through description. “Melon and ham” is what a machine hands you: generic, average text. Making us </w:t>
      </w:r>
      <w:r>
        <w:rPr>
          <w:rFonts w:ascii="Calibri" w:hAnsi="Calibri" w:eastAsia="Calibri" w:cs="Calibri"/>
          <w:i/>
          <w:iCs/>
          <w:sz w:val="22"/>
          <w:szCs w:val="22"/>
        </w:rPr>
        <w:t>taste</w:t>
      </w:r>
      <w:r>
        <w:rPr>
          <w:rFonts w:ascii="Calibri" w:hAnsi="Calibri" w:eastAsia="Calibri" w:cs="Calibri"/>
          <w:sz w:val="22"/>
          <w:szCs w:val="22"/>
        </w:rPr>
        <w:t xml:space="preserve"> it is the thing </w:t>
      </w:r>
      <w:r>
        <w:rPr>
          <w:rFonts w:ascii="Calibri" w:hAnsi="Calibri" w:eastAsia="Calibri" w:cs="Calibri"/>
          <w:i/>
          <w:iCs/>
          <w:sz w:val="22"/>
          <w:szCs w:val="22"/>
        </w:rPr>
        <w:t>only a human author can truly do.</w:t>
      </w:r>
    </w:p>
    <w:p w14:paraId="631FA6F3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2. What Do I Need to Do?</w:t>
      </w:r>
    </w:p>
    <w:p w14:paraId="42BD0250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In class, in Journaler, start the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>5-minute timer</w:t>
      </w:r>
      <w:r>
        <w:rPr>
          <w:rFonts w:ascii="Calibri" w:hAnsi="Calibri" w:eastAsia="Calibri" w:cs="Calibri"/>
          <w:sz w:val="22"/>
          <w:szCs w:val="22"/>
        </w:rPr>
        <w:t>. Pick one small, ordinary moment from your life.</w:t>
      </w:r>
    </w:p>
    <w:p w14:paraId="539E3BE3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b/>
          <w:bCs/>
          <w:sz w:val="22"/>
          <w:szCs w:val="22"/>
        </w:rPr>
        <w:t>Show it through the senses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— the light, the sounds, the smells, what your hands felt, what was on your tongue. Put us there. Do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i/>
          <w:iCs/>
          <w:sz w:val="22"/>
          <w:szCs w:val="22"/>
        </w:rPr>
        <w:t>not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tell us it was nice or sad; make us feel it in the details.</w:t>
      </w:r>
    </w:p>
    <w:p w14:paraId="7A5B17D5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b/>
          <w:bCs/>
          <w:sz w:val="22"/>
          <w:szCs w:val="22"/>
        </w:rPr>
        <w:t>No dialogue.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If someone is there, we know them by what they do, not what they say. Carry the whole moment on the senses.</w:t>
      </w:r>
    </w:p>
    <w:p w14:paraId="509FC0F2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Build a One-Pager: that moment, rendered through the senses, on one page. Cut every word that tells instead of shows.</w:t>
      </w:r>
    </w:p>
    <w:p w14:paraId="21307017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3. Length &amp; Format</w:t>
      </w:r>
    </w:p>
    <w:p w14:paraId="0BC7E2F4">
      <w:pPr>
        <w:numPr>
          <w:ilvl w:val="0"/>
          <w:numId w:val="1002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One page, concrete and sensory throughout. No summary words (</w:t>
      </w:r>
      <w:r>
        <w:rPr>
          <w:rFonts w:ascii="Calibri" w:hAnsi="Calibri" w:eastAsia="Calibri" w:cs="Calibri"/>
          <w:sz w:val="22"/>
          <w:szCs w:val="22"/>
        </w:rPr>
        <w:t>“it was fun”</w:t>
      </w:r>
      <w:r>
        <w:rPr>
          <w:rFonts w:ascii="Calibri" w:hAnsi="Calibri" w:eastAsia="Calibri" w:cs="Calibri"/>
          <w:sz w:val="22"/>
          <w:szCs w:val="22"/>
        </w:rPr>
        <w:t>). Image welcome.</w:t>
      </w:r>
    </w:p>
    <w:p w14:paraId="4C38E5CD">
      <w:pPr>
        <w:numPr>
          <w:ilvl w:val="0"/>
          <w:numId w:val="1002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Export your One-Pager from Journaler as a one-page PDF and submit via Canvas.</w:t>
      </w:r>
    </w:p>
    <w:p w14:paraId="074F2581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4. Working Collaboratively</w:t>
      </w:r>
    </w:p>
    <w:p w14:paraId="32631FF1">
      <w:pPr>
        <w:pStyle w:val="FirstParagraph"/>
      </w:pPr>
      <w:r>
        <w:rPr>
          <w:rFonts w:ascii="Calibri" w:hAnsi="Calibri" w:eastAsia="Calibri" w:cs="Calibri"/>
          <w:b/>
          <w:bCs/>
          <w:sz w:val="22"/>
          <w:szCs w:val="22"/>
          <w:highlight w:val="yellow"/>
        </w:rPr>
        <w:t>The moment is yours — render it, don’t summarize it.</w:t>
      </w:r>
      <w:r>
        <w:rPr>
          <w:rFonts w:ascii="Calibri" w:hAnsi="Calibri" w:eastAsia="Calibri" w:cs="Calibri"/>
          <w:sz w:val="22"/>
          <w:szCs w:val="22"/>
        </w:rPr>
        <w:t xml:space="preserve"> “Melon and ham” is exactly what genAI hands you; the tasted version is the un-generatable thing. After the gush, Journaler’s reflection partner asks how it went — it never supplies the words.</w:t>
      </w:r>
    </w:p>
    <w:p w14:paraId="2EE48237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Column="1" w:noVBand="1"/>
      </w:tblPr>
      <w:tblGrid>
        <w:gridCol w:w="2325"/>
        <w:gridCol w:w="8475"/>
      </w:tblGrid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D435863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 moment, through the senses (5)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F7D1A99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One real moment rendered so we see, hear, smell, and feel it. Shows, never tells (“it was nice”). No dialogue — carried entirely on the senses.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635A7E7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Authenticity (3)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6E1E43E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A real moment of yours, particular and un-generic — the opposite of “melon and ham.”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4A49DE8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09187E5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One page, sensory throughout, no summary words. Image welcome.</w:t>
            </w:r>
          </w:p>
        </w:tc>
      </w:tr>
    </w:tbl>
    <w:p w14:paraId="10C5AD49"/>
    <w:sectPr>
      <w:pgSz w:w="12240" w:h="15840"/>
      <w:pgMar w:top="720" w:right="720" w:bottom="720" w:left="72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styleId="Heading3" w:type="paragraph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pPr>
      <w:spacing w:after="0" w:line="240" w:lineRule="auto"/>
    </w:pPr>
    <w:tblPr>
      <w:tblStyleRowBandSize w:val="1"/>
      <w:tblStyleColBandSize w:val="1"/>
      <w:tblCellMar>
        <w:top w:type="dxa" w:w="0.0"/>
        <w:left w:type="dxa" w:w="108.0"/>
        <w:bottom w:type="dxa" w:w="0.0"/>
        <w:right w:type="dxa" w:w="108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2026-07-21T22:35:47Z</dcterms:created>
  <dcterms:modified xsi:type="dcterms:W3CDTF">2026-07-21T22:47:13.293Z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