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rFonts w:eastAsia="Calibri" w:cs="Calibri"/>
          <w:b/>
          <w:bCs/>
          <w:sz w:val="22"/>
          <w:szCs w:val="22"/>
        </w:rPr>
        <w:t>One-Pager 4 — Breaking the Rules</w:t>
      </w:r>
      <w:r>
        <w:rPr/>
        <w:br/>
      </w:r>
      <w:r>
        <w:rPr>
          <w:rFonts w:eastAsia="Calibri" w:cs="Calibri"/>
          <w:b/>
          <w:bCs/>
          <w:sz w:val="22"/>
          <w:szCs w:val="22"/>
        </w:rPr>
        <w:t>TCE 284 FA26 (Edwards)</w:t>
      </w:r>
      <w:r>
        <w:rPr/>
        <w:br/>
      </w:r>
      <w:r>
        <w:rPr>
          <w:rFonts w:eastAsia="Calibri" w:cs="Calibri"/>
          <w:b/>
          <w:bCs/>
          <w:sz w:val="22"/>
          <w:szCs w:val="22"/>
        </w:rPr>
        <w:t>10 points possible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1. What’s This All About?</w:t>
      </w:r>
    </w:p>
    <w:p>
      <w:pPr>
        <w:pStyle w:val="Normal"/>
        <w:rPr/>
      </w:pPr>
      <w:r>
        <w:rPr>
          <w:rFonts w:eastAsia="Calibri" w:cs="Calibri"/>
          <w:sz w:val="22"/>
          <w:szCs w:val="22"/>
        </w:rPr>
        <w:t xml:space="preserve">In Chapter 15 of Write What Matters, “Break the Rules in Style,” Romano opens with the following: “Be bad now and then . . . Break rules and see what shakes loose.” Winston Weathers called this Grammar B: a real, deliberate alternate style: sentence fragments, labyrinthine sentences, purposeful misspelling, double voice. Here is the machine’s problem with it: a machine is a Grammar-A enforcer. It </w:t>
      </w:r>
      <w:r>
        <w:rPr>
          <w:rFonts w:eastAsia="Calibri" w:cs="Calibri"/>
          <w:i/>
          <w:iCs/>
          <w:sz w:val="22"/>
          <w:szCs w:val="22"/>
        </w:rPr>
        <w:t>corrects</w:t>
      </w:r>
      <w:r>
        <w:rPr>
          <w:rFonts w:eastAsia="Calibri" w:cs="Calibri"/>
          <w:sz w:val="22"/>
          <w:szCs w:val="22"/>
        </w:rPr>
        <w:t xml:space="preserve">. It flattens your </w:t>
      </w:r>
      <w:r>
        <w:rPr>
          <w:rFonts w:eastAsia="Calibri" w:cs="Calibri"/>
          <w:i/>
          <w:iCs/>
          <w:sz w:val="22"/>
          <w:szCs w:val="22"/>
        </w:rPr>
        <w:t>wisdoom</w:t>
      </w:r>
      <w:r>
        <w:rPr>
          <w:rFonts w:eastAsia="Calibri" w:cs="Calibri"/>
          <w:sz w:val="22"/>
          <w:szCs w:val="22"/>
        </w:rPr>
        <w:t xml:space="preserve">, untangles your labyrinth, ends your fragments: straight back to average writing. 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2. What Do I Need to Do?</w:t>
      </w:r>
    </w:p>
    <w:p>
      <w:pPr>
        <w:pStyle w:val="normal1"/>
        <w:numPr>
          <w:ilvl w:val="0"/>
          <w:numId w:val="1"/>
        </w:numPr>
        <w:ind w:hanging="360" w:start="720"/>
        <w:rPr/>
      </w:pPr>
      <w:r>
        <w:rPr>
          <w:rFonts w:eastAsia="Calibri" w:cs="Calibri"/>
          <w:sz w:val="22"/>
          <w:szCs w:val="22"/>
        </w:rPr>
        <w:t xml:space="preserve">In class, in Journaler, start the </w:t>
      </w:r>
      <w:r>
        <w:rPr>
          <w:rFonts w:eastAsia="Calibri" w:cs="Calibri"/>
          <w:b/>
          <w:bCs/>
          <w:sz w:val="22"/>
          <w:szCs w:val="22"/>
        </w:rPr>
        <w:t>5-minute timer</w:t>
      </w:r>
      <w:r>
        <w:rPr>
          <w:rFonts w:eastAsia="Calibri" w:cs="Calibri"/>
          <w:sz w:val="22"/>
          <w:szCs w:val="22"/>
        </w:rPr>
        <w:t xml:space="preserve">. Pick something that matters to you and write about it while </w:t>
      </w:r>
      <w:r>
        <w:rPr>
          <w:rFonts w:eastAsia="Calibri" w:cs="Calibri"/>
          <w:b/>
          <w:bCs/>
          <w:sz w:val="22"/>
          <w:szCs w:val="22"/>
        </w:rPr>
        <w:t>breaking the rules on purpose</w:t>
      </w:r>
      <w:r>
        <w:rPr>
          <w:rFonts w:eastAsia="Calibri" w:cs="Calibri"/>
          <w:sz w:val="22"/>
          <w:szCs w:val="22"/>
        </w:rPr>
        <w:t xml:space="preserve"> — use at least </w:t>
      </w:r>
      <w:r>
        <w:rPr>
          <w:rFonts w:eastAsia="Calibri" w:cs="Calibri"/>
          <w:b/>
          <w:bCs/>
          <w:sz w:val="22"/>
          <w:szCs w:val="22"/>
        </w:rPr>
        <w:t>two</w:t>
      </w:r>
      <w:r>
        <w:rPr>
          <w:rFonts w:eastAsia="Calibri" w:cs="Calibri"/>
          <w:sz w:val="22"/>
          <w:szCs w:val="22"/>
        </w:rPr>
        <w:t xml:space="preserve"> Grammar B moves (fragments, labyrinthine sentences, purposeful misspelling, double voice).</w:t>
      </w:r>
    </w:p>
    <w:p>
      <w:pPr>
        <w:pStyle w:val="normal1"/>
        <w:numPr>
          <w:ilvl w:val="0"/>
          <w:numId w:val="1"/>
        </w:numPr>
        <w:ind w:hanging="360" w:start="720"/>
        <w:rPr/>
      </w:pPr>
      <w:r>
        <w:rPr>
          <w:rFonts w:eastAsia="Calibri" w:cs="Calibri"/>
          <w:sz w:val="22"/>
          <w:szCs w:val="22"/>
        </w:rPr>
        <w:t xml:space="preserve">Build a One-Pager: your rule-breaking piece, on one page. </w:t>
      </w:r>
      <w:r>
        <w:rPr>
          <w:rFonts w:eastAsia="Calibri" w:cs="Calibri"/>
          <w:b/>
          <w:bCs/>
          <w:sz w:val="22"/>
          <w:szCs w:val="22"/>
        </w:rPr>
        <w:t>Keep it broken.</w:t>
      </w:r>
      <w:r>
        <w:rPr>
          <w:rFonts w:eastAsia="Calibri" w:cs="Calibri"/>
          <w:sz w:val="22"/>
          <w:szCs w:val="22"/>
        </w:rPr>
        <w:t xml:space="preserve"> Every “error” should be one you meant.</w:t>
      </w:r>
    </w:p>
    <w:p>
      <w:pPr>
        <w:pStyle w:val="normal1"/>
        <w:numPr>
          <w:ilvl w:val="0"/>
          <w:numId w:val="1"/>
        </w:numPr>
        <w:ind w:hanging="360" w:start="720"/>
        <w:rPr/>
      </w:pPr>
      <w:r>
        <w:rPr>
          <w:rFonts w:eastAsia="Calibri" w:cs="Calibri"/>
          <w:sz w:val="22"/>
          <w:szCs w:val="22"/>
        </w:rPr>
        <w:t>The Generation Loss experiment is deliberately simple — one plain prompt, run over and over; the point isn’t the prompt, it’s watching what each pass erases. Your piece is pass zero. Ask the machine to “clean this up and correct it” — that is pass one. Run the same request on that, and again, out to pass ten. Save passes 0, 1, 5, and 10 side by side. Then write a short reflection: what did the machine fix first, and what is gone by pass ten that was there at the start? That part is yours.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3. Length &amp; Format</w:t>
      </w:r>
    </w:p>
    <w:p>
      <w:pPr>
        <w:pStyle w:val="normal1"/>
        <w:numPr>
          <w:ilvl w:val="0"/>
          <w:numId w:val="1"/>
        </w:numPr>
        <w:ind w:hanging="360" w:start="720"/>
        <w:rPr/>
      </w:pPr>
      <w:r>
        <w:rPr>
          <w:rFonts w:eastAsia="Calibri" w:cs="Calibri"/>
          <w:sz w:val="22"/>
          <w:szCs w:val="22"/>
        </w:rPr>
        <w:t xml:space="preserve">One page. At least two Grammar B moves, on purpose. </w:t>
      </w:r>
      <w:r>
        <w:rPr>
          <w:rFonts w:eastAsia="Calibri" w:cs="Calibri"/>
          <w:sz w:val="22"/>
          <w:szCs w:val="22"/>
        </w:rPr>
        <w:t>Include your reflection on the Generation Loss experiment</w:t>
      </w:r>
      <w:r>
        <w:rPr>
          <w:rFonts w:eastAsia="Calibri" w:cs="Calibri"/>
          <w:sz w:val="22"/>
          <w:szCs w:val="22"/>
        </w:rPr>
        <w:t xml:space="preserve">. </w:t>
      </w:r>
      <w:r>
        <w:rPr>
          <w:rFonts w:eastAsia="Calibri" w:cs="Calibri"/>
          <w:sz w:val="22"/>
          <w:szCs w:val="22"/>
        </w:rPr>
        <w:t>What is lost? What happened? What are your thoughts about this? Implications for your writing and the writing of your students?</w:t>
      </w:r>
    </w:p>
    <w:p>
      <w:pPr>
        <w:pStyle w:val="normal1"/>
        <w:numPr>
          <w:ilvl w:val="0"/>
          <w:numId w:val="1"/>
        </w:numPr>
        <w:ind w:hanging="360" w:start="720"/>
        <w:rPr/>
      </w:pPr>
      <w:r>
        <w:rPr>
          <w:rFonts w:eastAsia="Calibri" w:cs="Calibri"/>
          <w:sz w:val="22"/>
          <w:szCs w:val="22"/>
        </w:rPr>
        <w:t xml:space="preserve">Export as a one-page PDF via Canvas, </w:t>
      </w:r>
      <w:r>
        <w:rPr>
          <w:rFonts w:eastAsia="Calibri" w:cs="Calibri"/>
          <w:b/>
          <w:bCs/>
          <w:sz w:val="22"/>
          <w:szCs w:val="22"/>
        </w:rPr>
        <w:t>with your Generation Loss reflection.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4. Working Collaboratively</w:t>
      </w:r>
    </w:p>
    <w:p>
      <w:pPr>
        <w:pStyle w:val="Normal"/>
        <w:rPr/>
      </w:pPr>
      <w:r>
        <w:rPr>
          <w:rFonts w:eastAsia="Calibri" w:cs="Calibri"/>
          <w:b/>
          <w:bCs/>
          <w:sz w:val="22"/>
          <w:szCs w:val="22"/>
          <w:highlight w:val="yellow"/>
        </w:rPr>
        <w:t>Every broken rule should be one you meant.</w:t>
      </w:r>
      <w:r>
        <w:rPr>
          <w:rFonts w:eastAsia="Calibri" w:cs="Calibri"/>
          <w:sz w:val="22"/>
          <w:szCs w:val="22"/>
        </w:rPr>
        <w:t xml:space="preserve"> The machine will try to “correct” the very thing that makes it yours — that is the whole point. The judgment about what to keep is yours.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5. How Is My Work Being Assessed?</w:t>
      </w:r>
    </w:p>
    <w:tbl>
      <w:tblPr>
        <w:tblStyle w:val="TableGrid"/>
        <w:tblW w:w="10800" w:type="dxa"/>
        <w:jc w:val="start"/>
        <w:tblInd w:w="0" w:type="dxa"/>
        <w:tblLayout w:type="fixed"/>
        <w:tblCellMar>
          <w:top w:w="40" w:type="dxa"/>
          <w:start w:w="108" w:type="dxa"/>
          <w:bottom w:w="40" w:type="dxa"/>
          <w:end w:w="108" w:type="dxa"/>
        </w:tblCellMar>
        <w:tblLook w:noVBand="1" w:firstColumn="1" w:val="07e0"/>
      </w:tblPr>
      <w:tblGrid>
        <w:gridCol w:w="2325"/>
        <w:gridCol w:w="8475"/>
      </w:tblGrid>
      <w:tr>
        <w:trPr/>
        <w:tc>
          <w:tcPr>
            <w:tcW w:w="2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76" w:before="0" w:after="0"/>
              <w:rPr/>
            </w:pPr>
            <w:r>
              <w:rPr>
                <w:rFonts w:eastAsia="Calibri" w:cs="Calibri"/>
                <w:b/>
                <w:bCs/>
                <w:sz w:val="22"/>
                <w:szCs w:val="22"/>
              </w:rPr>
              <w:t>Rule-breaking that works (</w:t>
            </w:r>
            <w:r>
              <w:rPr>
                <w:rFonts w:eastAsia="Calibri" w:cs="Calibri"/>
                <w:b/>
                <w:bCs/>
                <w:sz w:val="22"/>
                <w:szCs w:val="22"/>
              </w:rPr>
              <w:t>4</w:t>
            </w:r>
            <w:r>
              <w:rPr>
                <w:rFonts w:eastAsia="Calibri" w:cs="Calibri"/>
                <w:b/>
                <w:bCs/>
                <w:sz w:val="22"/>
                <w:szCs w:val="22"/>
              </w:rPr>
              <w:t>)</w:t>
            </w:r>
          </w:p>
        </w:tc>
        <w:tc>
          <w:tcPr>
            <w:tcW w:w="84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76" w:before="0" w:after="0"/>
              <w:rPr/>
            </w:pPr>
            <w:r>
              <w:rPr>
                <w:rFonts w:eastAsia="Calibri" w:cs="Calibri"/>
                <w:sz w:val="22"/>
                <w:szCs w:val="22"/>
              </w:rPr>
              <w:t>At least two Grammar B moves, deliberate and meaningful — every “error” one you meant, serving the writing, not careless.</w:t>
            </w:r>
          </w:p>
        </w:tc>
      </w:tr>
      <w:tr>
        <w:trPr/>
        <w:tc>
          <w:tcPr>
            <w:tcW w:w="2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76" w:before="0" w:after="0"/>
              <w:rPr/>
            </w:pPr>
            <w:r>
              <w:rPr>
                <w:rFonts w:eastAsia="Calibri" w:cs="Calibri"/>
                <w:b/>
                <w:bCs/>
                <w:sz w:val="22"/>
                <w:szCs w:val="22"/>
              </w:rPr>
              <w:t>Generation Loss Reflection</w:t>
            </w:r>
            <w:r>
              <w:rPr>
                <w:rFonts w:eastAsia="Calibri" w:cs="Calibri"/>
                <w:b/>
                <w:bCs/>
                <w:sz w:val="22"/>
                <w:szCs w:val="22"/>
              </w:rPr>
              <w:t xml:space="preserve"> (</w:t>
            </w:r>
            <w:r>
              <w:rPr>
                <w:rFonts w:eastAsia="Calibri" w:cs="Calibri"/>
                <w:b/>
                <w:bCs/>
                <w:sz w:val="22"/>
                <w:szCs w:val="22"/>
              </w:rPr>
              <w:t>4</w:t>
            </w:r>
            <w:r>
              <w:rPr>
                <w:rFonts w:eastAsia="Calibri" w:cs="Calibri"/>
                <w:b/>
                <w:bCs/>
                <w:sz w:val="22"/>
                <w:szCs w:val="22"/>
              </w:rPr>
              <w:t>)</w:t>
            </w:r>
          </w:p>
        </w:tc>
        <w:tc>
          <w:tcPr>
            <w:tcW w:w="84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76" w:before="0" w:after="0"/>
              <w:rPr/>
            </w:pPr>
            <w:r>
              <w:rPr>
                <w:rFonts w:eastAsia="Calibri" w:cs="Calibri"/>
                <w:sz w:val="22"/>
                <w:szCs w:val="22"/>
              </w:rPr>
              <w:t>Reflect on the Generation Loss experiment. What is lost? What happened? What are your thoughts and implications for your writing and the writing of your students?</w:t>
            </w:r>
          </w:p>
        </w:tc>
      </w:tr>
      <w:tr>
        <w:trPr/>
        <w:tc>
          <w:tcPr>
            <w:tcW w:w="2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76" w:before="0" w:after="0"/>
              <w:rPr/>
            </w:pPr>
            <w:r>
              <w:rPr>
                <w:rFonts w:eastAsia="Calibri" w:cs="Calibri"/>
                <w:b/>
                <w:bCs/>
                <w:sz w:val="22"/>
                <w:szCs w:val="22"/>
              </w:rPr>
              <w:t>Format (2)</w:t>
            </w:r>
          </w:p>
        </w:tc>
        <w:tc>
          <w:tcPr>
            <w:tcW w:w="84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76" w:before="0" w:after="0"/>
              <w:rPr/>
            </w:pPr>
            <w:r>
              <w:rPr>
                <w:rFonts w:eastAsia="Calibri" w:cs="Calibri"/>
                <w:sz w:val="22"/>
                <w:szCs w:val="22"/>
              </w:rPr>
              <w:t>One page, kept broken, submitted with your Generation Loss reflection.</w:t>
            </w:r>
          </w:p>
        </w:tc>
      </w:tr>
    </w:tbl>
    <w:p>
      <w:pPr>
        <w:pStyle w:val="normal1"/>
        <w:widowControl/>
        <w:bidi w:val="0"/>
        <w:spacing w:lineRule="auto" w:line="276" w:before="0" w:after="200"/>
        <w:jc w:val="start"/>
        <w:rPr/>
      </w:pPr>
      <w:r>
        <w:rPr/>
      </w:r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•"/>
      <w:lvlJc w:val="start"/>
      <w:pPr>
        <w:tabs>
          <w:tab w:val="num" w:pos="0"/>
        </w:tabs>
        <w:ind w:start="720" w:hanging="360"/>
      </w:pPr>
      <w:rPr>
        <w:rFonts w:ascii="Arial" w:hAnsi="Arial" w:cs="Arial" w:hint="default"/>
        <w:sz w:val="22"/>
        <w:szCs w:val="22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•"/>
      <w:lvlJc w:val="start"/>
      <w:pPr>
        <w:tabs>
          <w:tab w:val="num" w:pos="0"/>
        </w:tabs>
        <w:ind w:start="720" w:hanging="360"/>
      </w:pPr>
      <w:rPr>
        <w:rFonts w:ascii="Arial" w:hAnsi="Arial" w:cs="Arial" w:hint="default"/>
        <w:sz w:val="22"/>
        <w:szCs w:val="22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embedTrueTypeFonts/>
  <w:embedSystemFonts/>
  <w:defaultTabStop w:val="720"/>
  <w:autoHyphenation w:val="true"/>
  <w:hyphenationZone w:val="0"/>
  <w:compat>
    <w:compatSetting w:name="compatibilityMode" w:uri="http://schemas.microsoft.com/office/word" w:val="15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iCs/>
      <w:color w:val="243F61"/>
    </w:rPr>
  </w:style>
  <w:style w:type="character" w:styleId="KeywordTok" w:customStyle="1">
    <w:name w:val="KeywordTok"/>
    <w:qFormat/>
    <w:rPr>
      <w:b/>
      <w:color w:val="007020"/>
    </w:rPr>
  </w:style>
  <w:style w:type="character" w:styleId="DataTypeTok" w:customStyle="1">
    <w:name w:val="DataTypeTok"/>
    <w:qFormat/>
    <w:rPr>
      <w:color w:val="902000"/>
    </w:rPr>
  </w:style>
  <w:style w:type="character" w:styleId="DecValTok" w:customStyle="1">
    <w:name w:val="DecValTok"/>
    <w:qFormat/>
    <w:rPr>
      <w:color w:val="40A070"/>
    </w:rPr>
  </w:style>
  <w:style w:type="character" w:styleId="BaseNTok" w:customStyle="1">
    <w:name w:val="BaseNTok"/>
    <w:qFormat/>
    <w:rPr>
      <w:color w:val="40A070"/>
    </w:rPr>
  </w:style>
  <w:style w:type="character" w:styleId="FloatTok" w:customStyle="1">
    <w:name w:val="FloatTok"/>
    <w:qFormat/>
    <w:rPr>
      <w:color w:val="40A070"/>
    </w:rPr>
  </w:style>
  <w:style w:type="character" w:styleId="ConstantTok" w:customStyle="1">
    <w:name w:val="ConstantTok"/>
    <w:qFormat/>
    <w:rPr>
      <w:color w:val="880000"/>
    </w:rPr>
  </w:style>
  <w:style w:type="character" w:styleId="CharTok" w:customStyle="1">
    <w:name w:val="CharTok"/>
    <w:qFormat/>
    <w:rPr>
      <w:color w:val="4070A0"/>
    </w:rPr>
  </w:style>
  <w:style w:type="character" w:styleId="SpecialCharTok" w:customStyle="1">
    <w:name w:val="SpecialCharTok"/>
    <w:qFormat/>
    <w:rPr>
      <w:color w:val="4070A0"/>
    </w:rPr>
  </w:style>
  <w:style w:type="character" w:styleId="StringTok" w:customStyle="1">
    <w:name w:val="StringTok"/>
    <w:qFormat/>
    <w:rPr>
      <w:color w:val="4070A0"/>
    </w:rPr>
  </w:style>
  <w:style w:type="character" w:styleId="VerbatimStringTok" w:customStyle="1">
    <w:name w:val="VerbatimStringTok"/>
    <w:qFormat/>
    <w:rPr>
      <w:color w:val="4070A0"/>
    </w:rPr>
  </w:style>
  <w:style w:type="character" w:styleId="SpecialStringTok" w:customStyle="1">
    <w:name w:val="SpecialStringTok"/>
    <w:qFormat/>
    <w:rPr>
      <w:color w:val="BB6688"/>
    </w:rPr>
  </w:style>
  <w:style w:type="character" w:styleId="ImportTok" w:customStyle="1">
    <w:name w:val="ImportTok"/>
    <w:qFormat/>
    <w:rPr>
      <w:b/>
      <w:color w:val="008000"/>
    </w:rPr>
  </w:style>
  <w:style w:type="character" w:styleId="CommentTok" w:customStyle="1">
    <w:name w:val="CommentTok"/>
    <w:qFormat/>
    <w:rPr>
      <w:i/>
      <w:color w:val="60A0B0"/>
    </w:rPr>
  </w:style>
  <w:style w:type="character" w:styleId="DocumentationTok" w:customStyle="1">
    <w:name w:val="DocumentationTok"/>
    <w:qFormat/>
    <w:rPr>
      <w:i/>
      <w:color w:val="BA2121"/>
    </w:rPr>
  </w:style>
  <w:style w:type="character" w:styleId="AnnotationTok" w:customStyle="1">
    <w:name w:val="AnnotationTok"/>
    <w:qFormat/>
    <w:rPr>
      <w:b/>
      <w:i/>
      <w:color w:val="60A0B0"/>
    </w:rPr>
  </w:style>
  <w:style w:type="character" w:styleId="CommentVarTok" w:customStyle="1">
    <w:name w:val="CommentVarTok"/>
    <w:qFormat/>
    <w:rPr>
      <w:b/>
      <w:i/>
      <w:color w:val="60A0B0"/>
    </w:rPr>
  </w:style>
  <w:style w:type="character" w:styleId="OtherTok" w:customStyle="1">
    <w:name w:val="OtherTok"/>
    <w:qFormat/>
    <w:rPr>
      <w:color w:val="007020"/>
    </w:rPr>
  </w:style>
  <w:style w:type="character" w:styleId="FunctionTok" w:customStyle="1">
    <w:name w:val="FunctionTok"/>
    <w:qFormat/>
    <w:rPr>
      <w:color w:val="06287E"/>
    </w:rPr>
  </w:style>
  <w:style w:type="character" w:styleId="VariableTok" w:customStyle="1">
    <w:name w:val="VariableTok"/>
    <w:qFormat/>
    <w:rPr>
      <w:color w:val="19177C"/>
    </w:rPr>
  </w:style>
  <w:style w:type="character" w:styleId="ControlFlowTok" w:customStyle="1">
    <w:name w:val="ControlFlowTok"/>
    <w:qFormat/>
    <w:rPr>
      <w:b/>
      <w:color w:val="007020"/>
    </w:rPr>
  </w:style>
  <w:style w:type="character" w:styleId="OperatorTok" w:customStyle="1">
    <w:name w:val="OperatorTok"/>
    <w:qFormat/>
    <w:rPr>
      <w:color w:val="666666"/>
    </w:rPr>
  </w:style>
  <w:style w:type="character" w:styleId="BuiltInTok" w:customStyle="1">
    <w:name w:val="BuiltInTok"/>
    <w:qFormat/>
    <w:rPr>
      <w:color w:val="008000"/>
    </w:rPr>
  </w:style>
  <w:style w:type="character" w:styleId="ExtensionTok" w:customStyle="1">
    <w:name w:val="ExtensionTok"/>
    <w:qFormat/>
    <w:rPr/>
  </w:style>
  <w:style w:type="character" w:styleId="PreprocessorTok" w:customStyle="1">
    <w:name w:val="PreprocessorTok"/>
    <w:qFormat/>
    <w:rPr>
      <w:color w:val="BC7A00"/>
    </w:rPr>
  </w:style>
  <w:style w:type="character" w:styleId="AttributeTok" w:customStyle="1">
    <w:name w:val="AttributeTok"/>
    <w:qFormat/>
    <w:rPr>
      <w:color w:val="7D9029"/>
    </w:rPr>
  </w:style>
  <w:style w:type="character" w:styleId="RegionMarkerTok" w:customStyle="1">
    <w:name w:val="RegionMarkerTok"/>
    <w:qFormat/>
    <w:rPr/>
  </w:style>
  <w:style w:type="character" w:styleId="InformationTok" w:customStyle="1">
    <w:name w:val="InformationTok"/>
    <w:qFormat/>
    <w:rPr>
      <w:b/>
      <w:i/>
      <w:color w:val="60A0B0"/>
    </w:rPr>
  </w:style>
  <w:style w:type="character" w:styleId="WarningTok" w:customStyle="1">
    <w:name w:val="WarningTok"/>
    <w:qFormat/>
    <w:rPr>
      <w:b/>
      <w:i/>
      <w:color w:val="60A0B0"/>
    </w:rPr>
  </w:style>
  <w:style w:type="character" w:styleId="AlertTok" w:customStyle="1">
    <w:name w:val="AlertTok"/>
    <w:qFormat/>
    <w:rPr>
      <w:b/>
      <w:color w:val="FF0000"/>
    </w:rPr>
  </w:style>
  <w:style w:type="character" w:styleId="ErrorTok" w:customStyle="1">
    <w:name w:val="ErrorTok"/>
    <w:qFormat/>
    <w:rPr>
      <w:b/>
      <w:color w:val="FF0000"/>
    </w:rPr>
  </w:style>
  <w:style w:type="character" w:styleId="NormalTok" w:customStyle="1">
    <w:name w:val="NormalTo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76" w:before="0" w:after="20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Subtitle">
    <w:name w:val="Subtitle"/>
    <w:basedOn w:val="normal1"/>
    <w:next w:val="normal1"/>
    <w:qFormat/>
    <w:pPr/>
    <w:rPr>
      <w:rFonts w:ascii="Calibri" w:hAnsi="Calibri" w:eastAsia="Calibri" w:cs="Calibri"/>
      <w:i/>
      <w:iCs/>
      <w:color w:val="4F81BD"/>
      <w:sz w:val="24"/>
      <w:szCs w:val="24"/>
    </w:rPr>
  </w:style>
  <w:style w:type="paragraph" w:styleId="SourceCode" w:customStyle="1">
    <w:name w:val="Source Code"/>
    <w:basedOn w:val="normal1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Application>LibreOffice/26.2.3.2$Linux_X86_64 LibreOffice_project/620$Build-2</Application>
  <AppVersion>15.0000</AppVersion>
  <Pages>1</Pages>
  <Words>425</Words>
  <Characters>2081</Characters>
  <CharactersWithSpaces>2489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2026-07-21T22:35:47Z</dcterms:created>
  <dc:creator/>
  <dc:description/>
  <dc:language>en-US</dc:language>
  <cp:lastModifiedBy/>
  <dcterms:modified xsi:type="dcterms:W3CDTF">2026-07-21T19:18:49Z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