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You have already done it five times in miniature; every One-Pager was a tiny currere. This is the full version, sustained on one thread that matters to you. The Final Draft is the finished piece, due Friday, October 30.</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Each begins as a timed gush in Journaler — gather the material, then build.</w:t>
      </w:r>
    </w:p>
    <w:p w14:paraId="310509CC">
      <w:pPr>
        <w:numPr>
          <w:ilvl w:val="0"/>
          <w:numId w:val="1"/>
        </w:numPr>
        <w:spacing w:after="200" w:line="276" w:lineRule="auto"/>
      </w:pPr>
      <w:r>
        <w:rPr>
          <w:rFonts w:ascii="Calibri" w:hAnsi="Calibri" w:eastAsia="Calibri" w:cs="Calibri"/>
          <w:b/>
          <w:bCs/>
          <w:sz w:val="22"/>
          <w:szCs w:val="22"/>
        </w:rPr>
        <w:t>Regressive — go back.</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w:t>
      </w:r>
      <w:r>
        <w:rPr>
          <w:rFonts w:ascii="Calibri" w:hAnsi="Calibri" w:eastAsia="Calibri" w:cs="Calibri"/>
          <w:sz w:val="22"/>
          <w:szCs w:val="22"/>
        </w:rPr>
        <w:t xml:space="preserve"> Imagine yourself as a teacher a year from now, five years from now. Free-associate that future the same way. This one is harder. Let it be hard.</w:t>
      </w:r>
    </w:p>
    <w:p w14:paraId="05990DAC">
      <w:pPr>
        <w:numPr>
          <w:ilvl w:val="0"/>
          <w:numId w:val="1"/>
        </w:numPr>
        <w:spacing w:after="200" w:line="276" w:lineRule="auto"/>
      </w:pPr>
      <w:r>
        <w:rPr>
          <w:rFonts w:ascii="Calibri" w:hAnsi="Calibri" w:eastAsia="Calibri" w:cs="Calibri"/>
          <w:b/>
          <w:bCs/>
          <w:sz w:val="22"/>
          <w:szCs w:val="22"/>
        </w:rPr>
        <w:t>Analytical — lay them side by side.</w:t>
      </w:r>
      <w:r>
        <w:rPr>
          <w:rFonts w:ascii="Calibri" w:hAnsi="Calibri" w:eastAsia="Calibri" w:cs="Calibri"/>
          <w:sz w:val="22"/>
          <w:szCs w:val="22"/>
        </w:rPr>
        <w:t xml:space="preserve"> Set past and future next to each other and read them. What runs through both? Name what you see.</w:t>
      </w:r>
    </w:p>
    <w:p w14:paraId="51271E6B">
      <w:pPr>
        <w:numPr>
          <w:ilvl w:val="0"/>
          <w:numId w:val="1"/>
        </w:numPr>
        <w:spacing w:after="200" w:line="276" w:lineRule="auto"/>
      </w:pPr>
      <w:r>
        <w:rPr>
          <w:rFonts w:ascii="Calibri" w:hAnsi="Calibri" w:eastAsia="Calibri" w:cs="Calibri"/>
          <w:b/>
          <w:bCs/>
          <w:sz w:val="22"/>
          <w:szCs w:val="22"/>
        </w:rPr>
        <w:t>Synthetical — put it back together.</w:t>
      </w:r>
      <w:r>
        <w:rPr>
          <w:rFonts w:ascii="Calibri" w:hAnsi="Calibri" w:eastAsia="Calibri" w:cs="Calibri"/>
          <w:sz w:val="22"/>
          <w:szCs w:val="22"/>
        </w:rPr>
        <w:t xml:space="preserve"> In your own voice, write the piece that carries the thread across where you have been, where you are, and where you are going.</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Friday, October 30.</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in the analytical moment, paste your own bursts and ask what themes recur; in revision, ask whether a scene is clear and vivid — a craft consultant, not a ghostwriter.</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